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Hess Christopher Travis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880,023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Hess, Christopher Travis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hess_poa.txt"/>
      <w:bookmarkStart w:id="3" w:name="kshess_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BigCommerce Holdings, Inc. (the "Company"),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the individuals named on Schedule A attached hereto and as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amended from time to time, or any of them signing singly,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resubstitution, to act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and/or regenerate codes and passwords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Section 16(a) of the Securities Exchange Act of 1934, as amended,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execute for and on behalf of the undersigned, Forms 3, 4, and 5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accordance with Section 16 of the Securities Exchange Act of 1934, as amended,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Form 3, 4, or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amendment or amendments thereto, and timely file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with the SEC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attorney-in? 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granted, as fully to all intents and purposes as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might or could do if personally present, with full power of substitution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attorneys-in-fact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 serving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capacity at the request of the undersigned, are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Securities Exchange Act of 1934, as amended.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22 day May of 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  /s/ Christopher Travis Hess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Christopher Travis Hess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Individuals Appointed as Attorney-in-Fact with Full Power of 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Resubstitution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Daniel Lentz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Charles D. Cassidy</w:t>
      </w:r>
    </w:p>
    <w:p>
      <w:pPr>
        <w:pStyle w:val="PreformattedText"/>
        <w:bidi w:val="0"/>
        <w:spacing w:before="0" w:after="283"/>
        <w:jc w:val="left"/>
        <w:rPr/>
      </w:pPr>
      <w:r>
        <w:rPr/>
        <w:t>3. Justin Bowes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414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1143</Words>
  <Characters>6064</Characters>
  <CharactersWithSpaces>7085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