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2000" w:hanging="3912"/>
        <w:spacing w:after="0" w:line="281"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-95885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001-39423</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BigCommerce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-287020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46-2707656</w:t>
            </w:r>
          </w:p>
        </w:tc>
      </w:tr>
      <w:tr>
        <w:trPr>
          <w:trHeight w:val="135"/>
        </w:trPr>
        <w:tc>
          <w:tcPr>
            <w:tcW w:w="4120" w:type="dxa"/>
            <w:vAlign w:val="bottom"/>
          </w:tcPr>
          <w:p>
            <w:pPr>
              <w:jc w:val="center"/>
              <w:ind w:right="198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2"/>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0"/>
              </w:rPr>
              <w:t>11305 Four Points Drive</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5"/>
              </w:rPr>
              <w:t>Building II, 3</w:t>
            </w:r>
            <w:r>
              <w:rPr>
                <w:rFonts w:ascii="Arial" w:cs="Arial" w:eastAsia="Arial" w:hAnsi="Arial"/>
                <w:sz w:val="15"/>
                <w:szCs w:val="15"/>
                <w:b w:val="1"/>
                <w:bCs w:val="1"/>
                <w:color w:val="auto"/>
                <w:w w:val="95"/>
              </w:rPr>
              <w:t>rd</w:t>
            </w:r>
            <w:r>
              <w:rPr>
                <w:rFonts w:ascii="Arial" w:cs="Arial" w:eastAsia="Arial" w:hAnsi="Arial"/>
                <w:sz w:val="18"/>
                <w:szCs w:val="18"/>
                <w:b w:val="1"/>
                <w:bCs w:val="1"/>
                <w:color w:val="auto"/>
                <w:w w:val="95"/>
              </w:rPr>
              <w:t xml:space="preserve"> Floor</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2"/>
              <w:spacing w:after="0"/>
              <w:rPr>
                <w:sz w:val="20"/>
                <w:szCs w:val="20"/>
                <w:color w:val="auto"/>
              </w:rPr>
            </w:pPr>
            <w:r>
              <w:rPr>
                <w:rFonts w:ascii="Arial" w:cs="Arial" w:eastAsia="Arial" w:hAnsi="Arial"/>
                <w:sz w:val="18"/>
                <w:szCs w:val="18"/>
                <w:b w:val="1"/>
                <w:bCs w:val="1"/>
                <w:color w:val="auto"/>
                <w:w w:val="88"/>
              </w:rPr>
              <w:t>Austin, Texas</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78726</w:t>
            </w:r>
          </w:p>
        </w:tc>
      </w:tr>
      <w:tr>
        <w:trPr>
          <w:trHeight w:val="164"/>
        </w:trPr>
        <w:tc>
          <w:tcPr>
            <w:tcW w:w="4120" w:type="dxa"/>
            <w:vAlign w:val="bottom"/>
          </w:tcPr>
          <w:p>
            <w:pPr>
              <w:jc w:val="center"/>
              <w:ind w:right="196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11"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(512) 865-4500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2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4"/>
                <w:szCs w:val="14"/>
                <w:color w:val="auto"/>
              </w:rPr>
            </w:pPr>
          </w:p>
        </w:tc>
        <w:tc>
          <w:tcPr>
            <w:tcW w:w="5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80" w:type="dxa"/>
            <w:vAlign w:val="bottom"/>
          </w:tcPr>
          <w:p>
            <w:pPr>
              <w:spacing w:after="0"/>
              <w:rPr>
                <w:sz w:val="20"/>
                <w:szCs w:val="20"/>
                <w:color w:val="auto"/>
              </w:rPr>
            </w:pPr>
            <w:r>
              <w:rPr>
                <w:rFonts w:ascii="Arial" w:cs="Arial" w:eastAsia="Arial" w:hAnsi="Arial"/>
                <w:sz w:val="15"/>
                <w:szCs w:val="15"/>
                <w:b w:val="1"/>
                <w:bCs w:val="1"/>
                <w:color w:val="auto"/>
              </w:rPr>
              <w:t>Series 1 common stock, $0.0001 par value per share</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BIGC</w:t>
            </w:r>
          </w:p>
        </w:tc>
        <w:tc>
          <w:tcPr>
            <w:tcW w:w="5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The Nasdaq Global Market</w:t>
            </w:r>
          </w:p>
        </w:tc>
        <w:tc>
          <w:tcPr>
            <w:tcW w:w="0" w:type="dxa"/>
            <w:vAlign w:val="bottom"/>
          </w:tcPr>
          <w:p>
            <w:pPr>
              <w:spacing w:after="0"/>
              <w:rPr>
                <w:sz w:val="1"/>
                <w:szCs w:val="1"/>
                <w:color w:val="auto"/>
              </w:rPr>
            </w:pPr>
          </w:p>
        </w:tc>
      </w:tr>
      <w:tr>
        <w:trPr>
          <w:trHeight w:val="145"/>
        </w:trPr>
        <w:tc>
          <w:tcPr>
            <w:tcW w:w="440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800" w:type="dxa"/>
            <w:vAlign w:val="bottom"/>
            <w:gridSpan w:val="2"/>
            <w:vMerge w:val="continue"/>
          </w:tcPr>
          <w:p>
            <w:pPr>
              <w:spacing w:after="0"/>
              <w:rPr>
                <w:sz w:val="12"/>
                <w:szCs w:val="12"/>
                <w:color w:val="auto"/>
              </w:rPr>
            </w:pPr>
          </w:p>
        </w:tc>
        <w:tc>
          <w:tcPr>
            <w:tcW w:w="5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0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234" w:right="339" w:bottom="1440" w:gutter="0" w:footer="0" w:header="0"/>
        </w:sectPr>
      </w:pPr>
    </w:p>
    <w:p>
      <w:pPr>
        <w:spacing w:after="0" w:line="5"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3120"/>
              <w:spacing w:after="0"/>
              <w:rPr>
                <w:sz w:val="20"/>
                <w:szCs w:val="20"/>
                <w:color w:val="auto"/>
              </w:rPr>
            </w:pPr>
            <w:r>
              <w:rPr>
                <w:rFonts w:ascii="Arial" w:cs="Arial" w:eastAsia="Arial" w:hAnsi="Arial"/>
                <w:sz w:val="15"/>
                <w:szCs w:val="15"/>
                <w:color w:val="auto"/>
              </w:rPr>
              <w:t>Accelerated filer</w:t>
            </w:r>
          </w:p>
        </w:tc>
      </w:tr>
      <w:tr>
        <w:trPr>
          <w:trHeight w:val="226"/>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120"/>
              <w:spacing w:after="0"/>
              <w:rPr>
                <w:sz w:val="20"/>
                <w:szCs w:val="20"/>
                <w:color w:val="auto"/>
              </w:rPr>
            </w:pPr>
            <w:r>
              <w:rPr>
                <w:rFonts w:ascii="Arial" w:cs="Arial" w:eastAsia="Arial" w:hAnsi="Arial"/>
                <w:sz w:val="15"/>
                <w:szCs w:val="15"/>
                <w:color w:val="auto"/>
                <w:w w:val="92"/>
              </w:rPr>
              <w:t>Smaller reporting company</w:t>
            </w:r>
          </w:p>
        </w:tc>
      </w:tr>
      <w:tr>
        <w:trPr>
          <w:trHeight w:val="230"/>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25" w:lineRule="exact"/>
        <w:rPr>
          <w:sz w:val="24"/>
          <w:szCs w:val="24"/>
          <w:color w:val="auto"/>
        </w:rPr>
      </w:pPr>
    </w:p>
    <w:p>
      <w:pPr>
        <w:sectPr>
          <w:pgSz w:w="11900" w:h="16838" w:orient="portrait"/>
          <w:cols w:equalWidth="0" w:num="2">
            <w:col w:w="10700" w:space="320"/>
            <w:col w:w="220"/>
          </w:cols>
          <w:pgMar w:left="320" w:top="234" w:right="339" w:bottom="1440" w:gutter="0" w:footer="0" w:header="0"/>
          <w:type w:val="continuous"/>
        </w:sect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320"/>
        <w:spacing w:after="0" w:line="246"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Stock Market on February 24, 2021, was $4.6 billion.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24, 2021, was 68,528,926.</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8" w:lineRule="exact"/>
        <w:rPr>
          <w:sz w:val="24"/>
          <w:szCs w:val="24"/>
          <w:color w:val="auto"/>
        </w:rPr>
      </w:pPr>
    </w:p>
    <w:p>
      <w:pPr>
        <w:ind w:right="60"/>
        <w:spacing w:after="0" w:line="238" w:lineRule="auto"/>
        <w:rPr>
          <w:sz w:val="20"/>
          <w:szCs w:val="20"/>
          <w:color w:val="auto"/>
        </w:rPr>
      </w:pPr>
      <w:r>
        <w:rPr>
          <w:rFonts w:ascii="Arial" w:cs="Arial" w:eastAsia="Arial" w:hAnsi="Arial"/>
          <w:sz w:val="14"/>
          <w:szCs w:val="14"/>
          <w:color w:val="auto"/>
        </w:rPr>
        <w:t>Part III of this Annual Report on Form 10-K incorporates certain information by reference from the definitive proxy statement for the Registrant's 2021 annual meeting of stockholders to be filed within 120 days of the registrant's fiscal year ended December 31, 2020, or the Proxy Statement.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9520" w:type="dxa"/>
            <w:vAlign w:val="bottom"/>
          </w:tcPr>
          <w:p>
            <w:pPr>
              <w:ind w:left="408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9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520" w:type="dxa"/>
            <w:vAlign w:val="bottom"/>
          </w:tcPr>
          <w:p>
            <w:pPr>
              <w:spacing w:after="0"/>
              <w:rPr>
                <w:sz w:val="24"/>
                <w:szCs w:val="2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9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w:t>
            </w:r>
          </w:p>
        </w:tc>
        <w:tc>
          <w:tcPr>
            <w:tcW w:w="9520" w:type="dxa"/>
            <w:vAlign w:val="bottom"/>
          </w:tcPr>
          <w:p>
            <w:pPr>
              <w:ind w:left="2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1A.</w:t>
            </w:r>
          </w:p>
        </w:tc>
        <w:tc>
          <w:tcPr>
            <w:tcW w:w="9520" w:type="dxa"/>
            <w:vAlign w:val="bottom"/>
          </w:tcPr>
          <w:p>
            <w:pPr>
              <w:ind w:left="22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1B.</w:t>
            </w:r>
          </w:p>
        </w:tc>
        <w:tc>
          <w:tcPr>
            <w:tcW w:w="9520" w:type="dxa"/>
            <w:vAlign w:val="bottom"/>
          </w:tcPr>
          <w:p>
            <w:pPr>
              <w:ind w:left="2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2.</w:t>
            </w:r>
          </w:p>
        </w:tc>
        <w:tc>
          <w:tcPr>
            <w:tcW w:w="9520" w:type="dxa"/>
            <w:vAlign w:val="bottom"/>
          </w:tcPr>
          <w:p>
            <w:pPr>
              <w:ind w:left="2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3.</w:t>
            </w:r>
          </w:p>
        </w:tc>
        <w:tc>
          <w:tcPr>
            <w:tcW w:w="9520" w:type="dxa"/>
            <w:vAlign w:val="bottom"/>
          </w:tcPr>
          <w:p>
            <w:pPr>
              <w:ind w:left="2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4.</w:t>
            </w:r>
          </w:p>
        </w:tc>
        <w:tc>
          <w:tcPr>
            <w:tcW w:w="9520" w:type="dxa"/>
            <w:vAlign w:val="bottom"/>
          </w:tcPr>
          <w:p>
            <w:pPr>
              <w:ind w:left="2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9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5.</w:t>
            </w:r>
          </w:p>
        </w:tc>
        <w:tc>
          <w:tcPr>
            <w:tcW w:w="9520" w:type="dxa"/>
            <w:vAlign w:val="bottom"/>
          </w:tcPr>
          <w:p>
            <w:pPr>
              <w:ind w:left="22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6.</w:t>
            </w:r>
          </w:p>
        </w:tc>
        <w:tc>
          <w:tcPr>
            <w:tcW w:w="9520" w:type="dxa"/>
            <w:vAlign w:val="bottom"/>
          </w:tcPr>
          <w:p>
            <w:pPr>
              <w:ind w:left="220"/>
              <w:spacing w:after="0"/>
              <w:rPr>
                <w:rFonts w:ascii="Arial" w:cs="Arial" w:eastAsia="Arial" w:hAnsi="Arial"/>
                <w:sz w:val="16"/>
                <w:szCs w:val="16"/>
                <w:u w:val="single" w:color="auto"/>
                <w:color w:val="0000EE"/>
              </w:rPr>
            </w:pPr>
            <w:hyperlink w:anchor="page33">
              <w:r>
                <w:rPr>
                  <w:rFonts w:ascii="Arial" w:cs="Arial" w:eastAsia="Arial" w:hAnsi="Arial"/>
                  <w:sz w:val="16"/>
                  <w:szCs w:val="16"/>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7.</w:t>
            </w:r>
          </w:p>
        </w:tc>
        <w:tc>
          <w:tcPr>
            <w:tcW w:w="9520" w:type="dxa"/>
            <w:vAlign w:val="bottom"/>
          </w:tcPr>
          <w:p>
            <w:pPr>
              <w:ind w:left="22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7A.</w:t>
            </w:r>
          </w:p>
        </w:tc>
        <w:tc>
          <w:tcPr>
            <w:tcW w:w="9520" w:type="dxa"/>
            <w:vAlign w:val="bottom"/>
          </w:tcPr>
          <w:p>
            <w:pPr>
              <w:ind w:left="2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8.</w:t>
            </w:r>
          </w:p>
        </w:tc>
        <w:tc>
          <w:tcPr>
            <w:tcW w:w="9520" w:type="dxa"/>
            <w:vAlign w:val="bottom"/>
          </w:tcPr>
          <w:p>
            <w:pPr>
              <w:ind w:left="2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9.</w:t>
            </w:r>
          </w:p>
        </w:tc>
        <w:tc>
          <w:tcPr>
            <w:tcW w:w="9520" w:type="dxa"/>
            <w:vAlign w:val="bottom"/>
          </w:tcPr>
          <w:p>
            <w:pPr>
              <w:ind w:left="2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9A.</w:t>
            </w:r>
          </w:p>
        </w:tc>
        <w:tc>
          <w:tcPr>
            <w:tcW w:w="9520" w:type="dxa"/>
            <w:vAlign w:val="bottom"/>
          </w:tcPr>
          <w:p>
            <w:pPr>
              <w:ind w:left="2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9B.</w:t>
            </w:r>
          </w:p>
        </w:tc>
        <w:tc>
          <w:tcPr>
            <w:tcW w:w="9520" w:type="dxa"/>
            <w:vAlign w:val="bottom"/>
          </w:tcPr>
          <w:p>
            <w:pPr>
              <w:ind w:left="22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9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10.</w:t>
            </w:r>
          </w:p>
        </w:tc>
        <w:tc>
          <w:tcPr>
            <w:tcW w:w="952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11.</w:t>
            </w:r>
          </w:p>
        </w:tc>
        <w:tc>
          <w:tcPr>
            <w:tcW w:w="952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12.</w:t>
            </w:r>
          </w:p>
        </w:tc>
        <w:tc>
          <w:tcPr>
            <w:tcW w:w="952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13.</w:t>
            </w:r>
          </w:p>
        </w:tc>
        <w:tc>
          <w:tcPr>
            <w:tcW w:w="952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14.</w:t>
            </w:r>
          </w:p>
        </w:tc>
        <w:tc>
          <w:tcPr>
            <w:tcW w:w="9520" w:type="dxa"/>
            <w:vAlign w:val="bottom"/>
          </w:tcPr>
          <w:p>
            <w:pPr>
              <w:ind w:left="220"/>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Principal Accounting Fees and Services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9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15.</w:t>
            </w:r>
          </w:p>
        </w:tc>
        <w:tc>
          <w:tcPr>
            <w:tcW w:w="9520" w:type="dxa"/>
            <w:vAlign w:val="bottom"/>
          </w:tcPr>
          <w:p>
            <w:pPr>
              <w:ind w:left="2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color w:val="auto"/>
              </w:rPr>
              <w:t>Item 16</w:t>
            </w:r>
          </w:p>
        </w:tc>
        <w:tc>
          <w:tcPr>
            <w:tcW w:w="9520" w:type="dxa"/>
            <w:vAlign w:val="bottom"/>
          </w:tcPr>
          <w:p>
            <w:pPr>
              <w:ind w:left="2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39"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This Annual Report on Form 10-K contains forward-looking statements within the meaning of Section 27A of the Securities Act of 1933, as amended, and Section 21E of the Securities Exchange Act of 1934, as amended (the “Exchange Act”).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 “can,” “continue,” “could,” “estimate,” “expect,” “intend,” “may,” “ongoing,” “plan,” “potential,” “predict,” “project,” “should,” “will,” and similar words or phrases. These forward-looking statements include statements concerning the following:</w:t>
      </w:r>
    </w:p>
    <w:p>
      <w:pPr>
        <w:spacing w:after="0" w:line="68"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COVID-19 pandemic and the associated economic uncertainty on us, our customers, and our partners, and our response thereto;</w:t>
      </w:r>
    </w:p>
    <w:p>
      <w:pPr>
        <w:spacing w:after="0" w:line="151" w:lineRule="exact"/>
        <w:rPr>
          <w:rFonts w:ascii="Arial" w:cs="Arial" w:eastAsia="Arial" w:hAnsi="Arial"/>
          <w:sz w:val="15"/>
          <w:szCs w:val="15"/>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prevalence of ecommerce and consumer behavior for periods following the end of the COVID-19 pandemic;</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sales, and operations;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and challenges in our business and the markets in which we operate;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areas of investments and expectations relating to such investments;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in our industry and innovation by our competitors;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market needs or develop new or enhanced services to meet those needs;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growth and to expand our infrastructure;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rights;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expansion into international markets and new industries;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identify, manage, and integrate any existing and potential acquisitions;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adapt to emerging regulatory developments, technological changes, and cybersecurity needs;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cash needs and our estimates regarding our capital requirements and our need for additional financing;</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anticipated effect on our business of litigation to which we are or may become a party; and</w:t>
      </w:r>
    </w:p>
    <w:p>
      <w:pPr>
        <w:spacing w:after="0" w:line="140" w:lineRule="exact"/>
        <w:rPr>
          <w:rFonts w:ascii="Arial" w:cs="Arial" w:eastAsia="Arial" w:hAnsi="Arial"/>
          <w:sz w:val="16"/>
          <w:szCs w:val="16"/>
          <w:color w:val="auto"/>
        </w:rPr>
      </w:pPr>
    </w:p>
    <w:p>
      <w:pPr>
        <w:ind w:left="1000" w:right="160" w:hanging="493"/>
        <w:spacing w:after="0" w:line="293"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statements described in this Annual Report on Form 10-K under “Risk Factors,” and “Management’s Discussion and Analysis of Financial Condition and Results of Operations”.</w:t>
      </w:r>
    </w:p>
    <w:p>
      <w:pPr>
        <w:spacing w:after="0" w:line="172"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Although we believe the expectations reflected in these forward-looking statements are reasonable, these statements are not guarantees of future performance and involve risks and uncertainties which are subject to change based on various important factors, some of which are beyond our control. For more information regarding these risks and uncertainties as well as certain additional risks that we face, refer to “Risk Factors,” as well as factors more fully described in “Management’s Discussion and Analysis of Financial Condition and Results of Operations” and elsewhere in this Annual Report on Form 10-K.</w:t>
      </w:r>
    </w:p>
    <w:p>
      <w:pPr>
        <w:spacing w:after="0" w:line="391" w:lineRule="exact"/>
        <w:rPr>
          <w:sz w:val="20"/>
          <w:szCs w:val="20"/>
          <w:color w:val="auto"/>
        </w:rPr>
      </w:pPr>
    </w:p>
    <w:p>
      <w:pPr>
        <w:ind w:right="20" w:firstLine="510"/>
        <w:spacing w:after="0" w:line="268" w:lineRule="auto"/>
        <w:rPr>
          <w:sz w:val="20"/>
          <w:szCs w:val="20"/>
          <w:color w:val="auto"/>
        </w:rPr>
      </w:pPr>
      <w:r>
        <w:rPr>
          <w:rFonts w:ascii="Arial" w:cs="Arial" w:eastAsia="Arial" w:hAnsi="Arial"/>
          <w:sz w:val="16"/>
          <w:szCs w:val="16"/>
          <w:color w:val="auto"/>
        </w:rPr>
        <w:t>If one or more of the factors affecting the expectations reflected in our forward-looking information and statements proves incorrect, our actual results, performance, or achievements could differ materially from those expressed in, or implied by, forward-looking information and statements. Therefore, we caution the reader not to place undue reliance on any forward-looking information or statements. The effect of these factors is difficult to predict. Factors other than these also could adversely affect our results, and the reader should not consider these factors to be a complete set of all potential risks or uncertainties. New factors emerge from time to time, and management cannot assess the impact of any such factor on our business or the extent to which any factor, or combination of factors, may cause results to differ materially from those contained in any forward-looking statement. Any forward-looking statements only speak as of the date of this document, and we undertake no obligation to update any forward-looking information or statements, whether written or oral, to reflect any change, except as required by law. All forward-looking statements attributable to us are expressly qualified by these cautionary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right="240" w:firstLine="395"/>
        <w:spacing w:after="0" w:line="278" w:lineRule="auto"/>
        <w:rPr>
          <w:sz w:val="20"/>
          <w:szCs w:val="20"/>
          <w:color w:val="auto"/>
        </w:rPr>
      </w:pPr>
      <w:r>
        <w:rPr>
          <w:rFonts w:ascii="Arial" w:cs="Arial" w:eastAsia="Arial" w:hAnsi="Arial"/>
          <w:sz w:val="16"/>
          <w:szCs w:val="16"/>
          <w:color w:val="auto"/>
        </w:rPr>
        <w:t>BigCommerce is leading a new era of ecommerce. Our software-as-a-service (“SaaS”) platform simplifies the creation of beautiful, engaging online stores by delivering a unique combination of ease-of-use, enterprise functionality, and flexibility. We power both our customers’ branded ecommerce stores and their cross-channel connections to popular online marketplaces, social networks, and offline point-of-sale (“POS”) systems.</w:t>
      </w:r>
    </w:p>
    <w:p>
      <w:pPr>
        <w:spacing w:after="0" w:line="184" w:lineRule="exact"/>
        <w:rPr>
          <w:sz w:val="20"/>
          <w:szCs w:val="20"/>
          <w:color w:val="auto"/>
        </w:rPr>
      </w:pPr>
    </w:p>
    <w:p>
      <w:pPr>
        <w:ind w:right="40" w:firstLine="395"/>
        <w:spacing w:after="0" w:line="273" w:lineRule="auto"/>
        <w:rPr>
          <w:sz w:val="20"/>
          <w:szCs w:val="20"/>
          <w:color w:val="auto"/>
        </w:rPr>
      </w:pPr>
      <w:r>
        <w:rPr>
          <w:rFonts w:ascii="Arial" w:cs="Arial" w:eastAsia="Arial" w:hAnsi="Arial"/>
          <w:sz w:val="16"/>
          <w:szCs w:val="16"/>
          <w:color w:val="auto"/>
        </w:rPr>
        <w:t>BigCommerce empowers businesses to turn digital transformation into a competitive advantage. We allow merchants to build their ecommerce solution their way with the freedom of choice that makes the most sense for their unique business and product offerings. We provide a comprehensive platform for launching and scaling an ecommerce operation, including store design, catalog management, hosting, checkout, order management, reporting, and pre-integrations into best of breed third-party services like payments, shipping and fulfillment, point of sale, marketing and accounting.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target the following business segments:</w:t>
      </w:r>
    </w:p>
    <w:p>
      <w:pPr>
        <w:spacing w:after="0" w:line="2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small businesses (“SMBs”), which we define as sites with annual online sales less than $1 million,</w:t>
      </w:r>
    </w:p>
    <w:p>
      <w:pPr>
        <w:spacing w:after="0" w:line="28"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mid-market, which we define as sites with annual online sales between $1 million and $50 million, and</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large enterprises, which we define as sites with annual online sales from $50 million to billions of dollars.</w:t>
      </w:r>
    </w:p>
    <w:p>
      <w:pPr>
        <w:spacing w:after="0" w:line="23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serve these segments with a platform offering enterprise-grade functionality, openness and performance capabilities with SMB friendly simplicity and ease-of-use. Our platform is the result of a multi- year investment in platform transformation. In nearly every component of our platform, we have added advanced functionality and openness using application programming interface (“API”) endpoints.</w:t>
      </w:r>
    </w:p>
    <w:p>
      <w:pPr>
        <w:spacing w:after="0" w:line="184" w:lineRule="exact"/>
        <w:rPr>
          <w:sz w:val="20"/>
          <w:szCs w:val="20"/>
          <w:color w:val="auto"/>
        </w:rPr>
      </w:pPr>
    </w:p>
    <w:p>
      <w:pPr>
        <w:ind w:right="40" w:firstLine="395"/>
        <w:spacing w:after="0" w:line="278" w:lineRule="auto"/>
        <w:rPr>
          <w:sz w:val="20"/>
          <w:szCs w:val="20"/>
          <w:color w:val="auto"/>
        </w:rPr>
      </w:pPr>
      <w:r>
        <w:rPr>
          <w:rFonts w:ascii="Arial" w:cs="Arial" w:eastAsia="Arial" w:hAnsi="Arial"/>
          <w:sz w:val="16"/>
          <w:szCs w:val="16"/>
          <w:color w:val="auto"/>
        </w:rPr>
        <w:t>We strive to provide the world’s best SaaS ecommerce platform for all customers and all stages of customer growth. Our platform serves customers across a wide variety of sizes, product categories, and purchase types, including business-to-consumer (“B2C”) and business-to-business (“B2B”). For the mid-market and large enterprise segments, we believe our platform combines three elements not typically offered together:</w:t>
      </w:r>
    </w:p>
    <w:p>
      <w:pPr>
        <w:spacing w:after="0" w:line="180" w:lineRule="exact"/>
        <w:rPr>
          <w:sz w:val="20"/>
          <w:szCs w:val="20"/>
          <w:color w:val="auto"/>
        </w:rPr>
      </w:pPr>
    </w:p>
    <w:p>
      <w:pPr>
        <w:ind w:left="1120" w:hanging="356"/>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Multi-tenant SaaS. </w:t>
      </w:r>
      <w:r>
        <w:rPr>
          <w:rFonts w:ascii="Arial" w:cs="Arial" w:eastAsia="Arial" w:hAnsi="Arial"/>
          <w:sz w:val="16"/>
          <w:szCs w:val="16"/>
          <w:color w:val="auto"/>
        </w:rPr>
        <w:t>The speed, ease-of-use, high-performance, and continuously-updated benefits associated with multi-tenant SaaS.</w:t>
      </w:r>
    </w:p>
    <w:p>
      <w:pPr>
        <w:spacing w:after="0" w:line="234" w:lineRule="exact"/>
        <w:rPr>
          <w:rFonts w:ascii="Arial" w:cs="Arial" w:eastAsia="Arial" w:hAnsi="Arial"/>
          <w:sz w:val="16"/>
          <w:szCs w:val="16"/>
          <w:color w:val="auto"/>
        </w:rPr>
      </w:pPr>
    </w:p>
    <w:p>
      <w:pPr>
        <w:ind w:left="1120" w:hanging="356"/>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Enterprise functionality. </w:t>
      </w:r>
      <w:r>
        <w:rPr>
          <w:rFonts w:ascii="Arial" w:cs="Arial" w:eastAsia="Arial" w:hAnsi="Arial"/>
          <w:sz w:val="16"/>
          <w:szCs w:val="16"/>
          <w:color w:val="auto"/>
        </w:rPr>
        <w:t>Enterprise-grade functionality capable of supporting sophisticated use cases and significant sales volumes.</w:t>
      </w:r>
    </w:p>
    <w:p>
      <w:pPr>
        <w:spacing w:after="0" w:line="32" w:lineRule="exact"/>
        <w:rPr>
          <w:rFonts w:ascii="Arial" w:cs="Arial" w:eastAsia="Arial" w:hAnsi="Arial"/>
          <w:sz w:val="16"/>
          <w:szCs w:val="16"/>
          <w:color w:val="auto"/>
        </w:rPr>
      </w:pPr>
    </w:p>
    <w:p>
      <w:pPr>
        <w:ind w:left="1120" w:hanging="356"/>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Open SaaS. </w:t>
      </w:r>
      <w:r>
        <w:rPr>
          <w:rFonts w:ascii="Arial" w:cs="Arial" w:eastAsia="Arial" w:hAnsi="Arial"/>
          <w:sz w:val="16"/>
          <w:szCs w:val="16"/>
          <w:color w:val="auto"/>
        </w:rPr>
        <w:t>Platform-wide APIs that enable businesses to customize their sites and integrate with external applications and services.</w:t>
      </w:r>
    </w:p>
    <w:p>
      <w:pPr>
        <w:spacing w:after="0" w:line="2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this powerful combination makes ecommerce success at scale more economically and operationally achievable than ever before.</w:t>
      </w:r>
    </w:p>
    <w:p>
      <w:pPr>
        <w:spacing w:after="0" w:line="235" w:lineRule="exact"/>
        <w:rPr>
          <w:sz w:val="20"/>
          <w:szCs w:val="20"/>
          <w:color w:val="auto"/>
        </w:rPr>
      </w:pPr>
    </w:p>
    <w:p>
      <w:pPr>
        <w:ind w:firstLine="395"/>
        <w:spacing w:after="0" w:line="315" w:lineRule="auto"/>
        <w:rPr>
          <w:sz w:val="20"/>
          <w:szCs w:val="20"/>
          <w:color w:val="auto"/>
        </w:rPr>
      </w:pPr>
      <w:r>
        <w:rPr>
          <w:rFonts w:ascii="Arial" w:cs="Arial" w:eastAsia="Arial" w:hAnsi="Arial"/>
          <w:sz w:val="14"/>
          <w:szCs w:val="14"/>
          <w:color w:val="auto"/>
        </w:rPr>
        <w:t>We have become a leader in both branded-site and cross-channel commerce. Cross-channel commerce involves the integration of a customer’s commerce capabilities with other sites—online and offline—where consumers and businesses make their purchases. We offer free, direct integrations with leading social networks such as Facebook and Instagram, search engines such as Google, online marketplaces such as Amazon and eBay, and POS platforms such as Square, Clover (a Fiserv company), and Vend. A dynamic and growing cross-channel category is “headless commerce,” which refers to the integration of a back-end commerce platform like ours with a front-end user experience separately created in a content management system (“CMS”) or design framework. The most dynamic and interactive online user experiences are often created using these tools. We integrate seamlessly with the leading CMSs, digital experience platforms, design frameworks, and custom front ends.</w:t>
      </w:r>
    </w:p>
    <w:p>
      <w:pPr>
        <w:spacing w:after="0" w:line="163" w:lineRule="exact"/>
        <w:rPr>
          <w:sz w:val="20"/>
          <w:szCs w:val="20"/>
          <w:color w:val="auto"/>
        </w:rPr>
      </w:pPr>
    </w:p>
    <w:p>
      <w:pPr>
        <w:ind w:right="300" w:firstLine="395"/>
        <w:spacing w:after="0" w:line="271" w:lineRule="auto"/>
        <w:rPr>
          <w:sz w:val="20"/>
          <w:szCs w:val="20"/>
          <w:color w:val="auto"/>
        </w:rPr>
      </w:pPr>
      <w:r>
        <w:rPr>
          <w:rFonts w:ascii="Arial" w:cs="Arial" w:eastAsia="Arial" w:hAnsi="Arial"/>
          <w:sz w:val="16"/>
          <w:szCs w:val="16"/>
          <w:color w:val="auto"/>
        </w:rPr>
        <w:t>Partners are essential to our open strategy. We believe we possess one of the deepest and broadest ecosystems of integrated technology solutions in the ecommerce industry. We strategically partner with, rather than compete against, the leading providers in adjacent categories, including payments, shipping, POS, CMS, customer relationship management (“CRM”), and enterprise resource planning (“ERP”). Our partner-centric strategy stands in contrast to our largest competitors, which operate complex software stacks that compete across categories. We focus our research and development investments in our core product to create a best-of-breed ecommerce platform. We believe this strategy has four advantages:</w:t>
      </w:r>
    </w:p>
    <w:p>
      <w:pPr>
        <w:spacing w:after="0" w:line="186" w:lineRule="exact"/>
        <w:rPr>
          <w:sz w:val="20"/>
          <w:szCs w:val="20"/>
          <w:color w:val="auto"/>
        </w:rPr>
      </w:pPr>
    </w:p>
    <w:p>
      <w:pPr>
        <w:ind w:left="1120" w:right="120" w:hanging="356"/>
        <w:spacing w:after="0" w:line="298"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Core product focus. </w:t>
      </w:r>
      <w:r>
        <w:rPr>
          <w:rFonts w:ascii="Arial" w:cs="Arial" w:eastAsia="Arial" w:hAnsi="Arial"/>
          <w:sz w:val="16"/>
          <w:szCs w:val="16"/>
          <w:color w:val="auto"/>
        </w:rPr>
        <w:t>We can create the industry’s best ecommerce platform and innovate faster than our competition by focusing development on a single</w:t>
      </w:r>
      <w:r>
        <w:rPr>
          <w:rFonts w:ascii="Arial" w:cs="Arial" w:eastAsia="Arial" w:hAnsi="Arial"/>
          <w:sz w:val="16"/>
          <w:szCs w:val="16"/>
          <w:b w:val="1"/>
          <w:bCs w:val="1"/>
          <w:color w:val="auto"/>
        </w:rPr>
        <w:t xml:space="preserve"> </w:t>
      </w:r>
      <w:r>
        <w:rPr>
          <w:rFonts w:ascii="Arial" w:cs="Arial" w:eastAsia="Arial" w:hAnsi="Arial"/>
          <w:sz w:val="16"/>
          <w:szCs w:val="16"/>
          <w:color w:val="auto"/>
        </w:rPr>
        <w:t>core product.</w:t>
      </w:r>
    </w:p>
    <w:p>
      <w:pPr>
        <w:spacing w:after="0" w:line="150" w:lineRule="exact"/>
        <w:rPr>
          <w:rFonts w:ascii="Arial" w:cs="Arial" w:eastAsia="Arial" w:hAnsi="Arial"/>
          <w:sz w:val="16"/>
          <w:szCs w:val="16"/>
          <w:color w:val="auto"/>
        </w:rPr>
      </w:pPr>
    </w:p>
    <w:p>
      <w:pPr>
        <w:ind w:left="1120" w:hanging="35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Best-of-breed choice. </w:t>
      </w:r>
      <w:r>
        <w:rPr>
          <w:rFonts w:ascii="Arial" w:cs="Arial" w:eastAsia="Arial" w:hAnsi="Arial"/>
          <w:sz w:val="16"/>
          <w:szCs w:val="16"/>
          <w:color w:val="auto"/>
        </w:rPr>
        <w:t>We offer our customers the choice of best-of-breed, tightly integrated solutions across verticals.</w:t>
      </w:r>
    </w:p>
    <w:p>
      <w:pPr>
        <w:spacing w:after="0" w:line="32" w:lineRule="exact"/>
        <w:rPr>
          <w:rFonts w:ascii="Arial" w:cs="Arial" w:eastAsia="Arial" w:hAnsi="Arial"/>
          <w:sz w:val="16"/>
          <w:szCs w:val="16"/>
          <w:color w:val="auto"/>
        </w:rPr>
      </w:pPr>
    </w:p>
    <w:p>
      <w:pPr>
        <w:ind w:left="1120" w:hanging="35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Cooperative marketing and sales. </w:t>
      </w:r>
      <w:r>
        <w:rPr>
          <w:rFonts w:ascii="Arial" w:cs="Arial" w:eastAsia="Arial" w:hAnsi="Arial"/>
          <w:sz w:val="16"/>
          <w:szCs w:val="16"/>
          <w:color w:val="auto"/>
        </w:rPr>
        <w:t>We co-market and co-sell with our strategic technology partners in each category.</w:t>
      </w:r>
    </w:p>
    <w:p>
      <w:pPr>
        <w:spacing w:after="0" w:line="32" w:lineRule="exact"/>
        <w:rPr>
          <w:rFonts w:ascii="Arial" w:cs="Arial" w:eastAsia="Arial" w:hAnsi="Arial"/>
          <w:sz w:val="16"/>
          <w:szCs w:val="16"/>
          <w:color w:val="auto"/>
        </w:rPr>
      </w:pPr>
    </w:p>
    <w:p>
      <w:pPr>
        <w:ind w:left="1120" w:hanging="356"/>
        <w:spacing w:after="0" w:line="298"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High gross margins. </w:t>
      </w:r>
      <w:r>
        <w:rPr>
          <w:rFonts w:ascii="Arial" w:cs="Arial" w:eastAsia="Arial" w:hAnsi="Arial"/>
          <w:sz w:val="16"/>
          <w:szCs w:val="16"/>
          <w:color w:val="auto"/>
        </w:rPr>
        <w:t>We earn high-margin revenue share from a subset of our strategic technology partners, and this complements the high gross margin of</w:t>
      </w:r>
      <w:r>
        <w:rPr>
          <w:rFonts w:ascii="Arial" w:cs="Arial" w:eastAsia="Arial" w:hAnsi="Arial"/>
          <w:sz w:val="16"/>
          <w:szCs w:val="16"/>
          <w:b w:val="1"/>
          <w:bCs w:val="1"/>
          <w:color w:val="auto"/>
        </w:rPr>
        <w:t xml:space="preserve"> </w:t>
      </w:r>
      <w:r>
        <w:rPr>
          <w:rFonts w:ascii="Arial" w:cs="Arial" w:eastAsia="Arial" w:hAnsi="Arial"/>
          <w:sz w:val="16"/>
          <w:szCs w:val="16"/>
          <w:color w:val="auto"/>
        </w:rPr>
        <w:t>our core ecommerce platform.</w:t>
      </w:r>
    </w:p>
    <w:p>
      <w:pPr>
        <w:spacing w:after="0" w:line="200" w:lineRule="exact"/>
        <w:rPr>
          <w:sz w:val="20"/>
          <w:szCs w:val="20"/>
          <w:color w:val="auto"/>
        </w:rPr>
      </w:pPr>
    </w:p>
    <w:p>
      <w:pPr>
        <w:spacing w:after="0" w:line="387" w:lineRule="exact"/>
        <w:rPr>
          <w:sz w:val="20"/>
          <w:szCs w:val="20"/>
          <w:color w:val="auto"/>
        </w:rPr>
      </w:pPr>
    </w:p>
    <w:p>
      <w:pPr>
        <w:ind w:right="120" w:firstLine="395"/>
        <w:spacing w:after="0" w:line="293" w:lineRule="auto"/>
        <w:rPr>
          <w:sz w:val="20"/>
          <w:szCs w:val="20"/>
          <w:color w:val="auto"/>
        </w:rPr>
      </w:pPr>
      <w:r>
        <w:rPr>
          <w:rFonts w:ascii="Arial" w:cs="Arial" w:eastAsia="Arial" w:hAnsi="Arial"/>
          <w:sz w:val="16"/>
          <w:szCs w:val="16"/>
          <w:color w:val="auto"/>
        </w:rPr>
        <w:t>Our business has achieved significant growth since our inception. We had total revenues of $152.4 million, $112.1 million and $91.9 million in 2020, 2019 and 2018, respectively. We plan to continue to invest in our “Open SaaS” strategy, building new partnerships and continuing to develop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platform that offers best-of-breed functionality with the cost-effectiveness of multi-tenant SaaS. As we work to develop and deliver this platform for our customers, we will also invest and grow our business by acquiring additional customers to our platform, growing our revenue with existing customers, and expanding our presence in new segments and geographies.</w:t>
      </w:r>
    </w:p>
    <w:p>
      <w:pPr>
        <w:spacing w:after="0" w:line="184" w:lineRule="exact"/>
        <w:rPr>
          <w:sz w:val="20"/>
          <w:szCs w:val="20"/>
          <w:color w:val="auto"/>
        </w:rPr>
      </w:pPr>
    </w:p>
    <w:p>
      <w:pPr>
        <w:ind w:right="120" w:firstLine="395"/>
        <w:spacing w:after="0" w:line="305" w:lineRule="auto"/>
        <w:rPr>
          <w:sz w:val="20"/>
          <w:szCs w:val="20"/>
          <w:color w:val="auto"/>
        </w:rPr>
      </w:pPr>
      <w:r>
        <w:rPr>
          <w:rFonts w:ascii="Arial" w:cs="Arial" w:eastAsia="Arial" w:hAnsi="Arial"/>
          <w:sz w:val="15"/>
          <w:szCs w:val="15"/>
          <w:color w:val="auto"/>
        </w:rPr>
        <w:t>We have invested, and intend to continue our disciplined investment strategy to grow our business by expanding our sales and marketing activities, including increasing the breadth and depth of our agency and technology partner ecosystem, enhancing our platform developments, and scaling our operations to support our existing and growing customer base. We incurred net losses of $37.6 million, $42.6 million and $38.9 million in 2020, 2019 and 2018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131" w:lineRule="exact"/>
        <w:rPr>
          <w:sz w:val="20"/>
          <w:szCs w:val="20"/>
          <w:color w:val="auto"/>
        </w:rPr>
      </w:pPr>
    </w:p>
    <w:p>
      <w:pPr>
        <w:ind w:right="80" w:firstLine="395"/>
        <w:spacing w:after="0" w:line="289" w:lineRule="auto"/>
        <w:rPr>
          <w:sz w:val="20"/>
          <w:szCs w:val="20"/>
          <w:color w:val="auto"/>
        </w:rPr>
      </w:pPr>
      <w:r>
        <w:rPr>
          <w:rFonts w:ascii="Arial" w:cs="Arial" w:eastAsia="Arial" w:hAnsi="Arial"/>
          <w:sz w:val="15"/>
          <w:szCs w:val="15"/>
          <w:color w:val="auto"/>
        </w:rPr>
        <w:t>COVID-19, declared a global pandemic by the World Health Organization on March 11, 2020, has caused disruption to the economies and communities of the United States and our target international markets. In the interest of public health, many governments closed physical stores and places of business deemed non-essential. This precipitated a significant shift in shopping behavior from offline to online. Our business has benefitted from this shift, both in accelerated sales growth for our existing customers’ stores, and in our sales of new store subscriptions to customers. Nevertheless, we do not have certainty that those trends will continue; the COVID-19 pandemic and the uncertainty it has created in the global economy could materially adversely affect our business, financial condition, and results of operations. For more information regarding the potential impact of the COVID-19 on our business, refer to “Risk Factors,” as well as our commentary in “Management’s Discussion and Analysis of Financial Condition and Results of Operations” and elsewhere 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operations</w:t>
      </w:r>
    </w:p>
    <w:p>
      <w:pPr>
        <w:spacing w:after="0" w:line="127" w:lineRule="exact"/>
        <w:rPr>
          <w:sz w:val="20"/>
          <w:szCs w:val="20"/>
          <w:color w:val="auto"/>
        </w:rPr>
      </w:pPr>
    </w:p>
    <w:p>
      <w:pPr>
        <w:ind w:right="20" w:firstLine="395"/>
        <w:spacing w:after="0" w:line="305" w:lineRule="auto"/>
        <w:rPr>
          <w:sz w:val="20"/>
          <w:szCs w:val="20"/>
          <w:color w:val="auto"/>
        </w:rPr>
      </w:pPr>
      <w:r>
        <w:rPr>
          <w:rFonts w:ascii="Arial" w:cs="Arial" w:eastAsia="Arial" w:hAnsi="Arial"/>
          <w:sz w:val="15"/>
          <w:szCs w:val="15"/>
          <w:color w:val="auto"/>
        </w:rPr>
        <w:t>Beginning in March 2020 and continuing for the remainder of the year, in compliance with local, state, and national regulations, we closed our major offices in Austin, San Francisco, Sydney, and London, and transitioned in an orderly fashion to work-from-home operations. We accomplished this transition efficiently across our various global teams and functions. Our employees and teams were equipped with the equipment and collaboration tools they need to successfully work remotely.</w:t>
      </w:r>
    </w:p>
    <w:p>
      <w:pPr>
        <w:spacing w:after="0" w:line="166" w:lineRule="exact"/>
        <w:rPr>
          <w:sz w:val="20"/>
          <w:szCs w:val="20"/>
          <w:color w:val="auto"/>
        </w:rPr>
      </w:pPr>
    </w:p>
    <w:p>
      <w:pPr>
        <w:ind w:right="100" w:firstLine="395"/>
        <w:spacing w:after="0" w:line="278" w:lineRule="auto"/>
        <w:rPr>
          <w:sz w:val="20"/>
          <w:szCs w:val="20"/>
          <w:color w:val="auto"/>
        </w:rPr>
      </w:pPr>
      <w:r>
        <w:rPr>
          <w:rFonts w:ascii="Arial" w:cs="Arial" w:eastAsia="Arial" w:hAnsi="Arial"/>
          <w:sz w:val="16"/>
          <w:szCs w:val="16"/>
          <w:color w:val="auto"/>
        </w:rPr>
        <w:t>As of December 31, 2020, our average uptime for 2020 was 99.98%. We consider this to be strong performance given the increase in site traffic and volume since the start of the pandemic. During the pandemic, we completed the rollout of our new storefront architecture and our customer service teams completed the transition to work-from-home while maintaining industry leading service levels.</w:t>
      </w:r>
    </w:p>
    <w:p>
      <w:pPr>
        <w:spacing w:after="0" w:line="171" w:lineRule="exact"/>
        <w:rPr>
          <w:sz w:val="20"/>
          <w:szCs w:val="20"/>
          <w:color w:val="auto"/>
        </w:rPr>
      </w:pPr>
    </w:p>
    <w:p>
      <w:pPr>
        <w:ind w:right="300" w:firstLine="374"/>
        <w:spacing w:after="0" w:line="293" w:lineRule="auto"/>
        <w:rPr>
          <w:sz w:val="20"/>
          <w:szCs w:val="20"/>
          <w:color w:val="auto"/>
        </w:rPr>
      </w:pPr>
      <w:r>
        <w:rPr>
          <w:rFonts w:ascii="Arial" w:cs="Arial" w:eastAsia="Arial" w:hAnsi="Arial"/>
          <w:sz w:val="16"/>
          <w:szCs w:val="16"/>
          <w:color w:val="auto"/>
        </w:rPr>
        <w:t>We have been and expect to continue to be responsive to the evolving guidance of local authorities. We plan to begin reopening our offices as local regulations and conditions allow. We believe that we are well equipped to support full or partial remote work without major service disruption.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ecommerce sector and our sales efforts</w:t>
      </w:r>
    </w:p>
    <w:p>
      <w:pPr>
        <w:spacing w:after="0" w:line="235" w:lineRule="exact"/>
        <w:rPr>
          <w:sz w:val="20"/>
          <w:szCs w:val="20"/>
          <w:color w:val="auto"/>
        </w:rPr>
      </w:pPr>
    </w:p>
    <w:p>
      <w:pPr>
        <w:ind w:right="620" w:firstLine="395"/>
        <w:spacing w:after="0" w:line="293" w:lineRule="auto"/>
        <w:rPr>
          <w:sz w:val="20"/>
          <w:szCs w:val="20"/>
          <w:color w:val="auto"/>
        </w:rPr>
      </w:pPr>
      <w:r>
        <w:rPr>
          <w:rFonts w:ascii="Arial" w:cs="Arial" w:eastAsia="Arial" w:hAnsi="Arial"/>
          <w:sz w:val="16"/>
          <w:szCs w:val="16"/>
          <w:color w:val="auto"/>
        </w:rPr>
        <w:t>Since March 2020, ecommerce sales in the United States and our target international markets have increased significantly due to pandemic-related changes in consumer and customer behavior. In turn, the macroeconomic trend towards ecommerce has accelerated.</w:t>
      </w:r>
    </w:p>
    <w:p>
      <w:pPr>
        <w:spacing w:after="0" w:line="172" w:lineRule="exact"/>
        <w:rPr>
          <w:sz w:val="20"/>
          <w:szCs w:val="20"/>
          <w:color w:val="auto"/>
        </w:rPr>
      </w:pPr>
    </w:p>
    <w:p>
      <w:pPr>
        <w:jc w:val="both"/>
        <w:ind w:right="100" w:firstLine="395"/>
        <w:spacing w:after="0" w:line="273" w:lineRule="auto"/>
        <w:rPr>
          <w:sz w:val="20"/>
          <w:szCs w:val="20"/>
          <w:color w:val="auto"/>
        </w:rPr>
      </w:pPr>
      <w:r>
        <w:rPr>
          <w:rFonts w:ascii="Arial" w:cs="Arial" w:eastAsia="Arial" w:hAnsi="Arial"/>
          <w:sz w:val="16"/>
          <w:szCs w:val="16"/>
          <w:color w:val="auto"/>
        </w:rPr>
        <w:t>Since the onset of the pandemic, we have generally experienced a shortening of sales cycles and an improvement in lead conversion and competitive win rates. Sales of Essentials plans increased, particularly early in the pandemic, as we supported merchants’ efforts to get online through our 90-day free site wide promotion on Essentials plans. We have also seen strengthening in Enterprise plan sales during the pandemic, with Enterprise ARR growing 51% in 2020 versus 2019, compared to 44% growth in 2019 versus 2018.</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revenue</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believe the shift to ecommerce following the COVID-19 pandemic has increased our subscription solutions revenue and our partner and services revenue.</w:t>
      </w:r>
    </w:p>
    <w:p>
      <w:pPr>
        <w:spacing w:after="0" w:line="246"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The pandemic-related increase in subscription solutions revenue is reflected in the growth in new customer bookings, continued strength in retention of existing customers, and increased subscription fees. Subscription solutions revenue grew year-over-year by 22.4%, 18.9%, 26.3%, and 33.1% in the first quarter, second quarter, third quarter, and fourth quarter of 2020, respectively.</w:t>
      </w:r>
    </w:p>
    <w:p>
      <w:pPr>
        <w:spacing w:after="0" w:line="184" w:lineRule="exact"/>
        <w:rPr>
          <w:sz w:val="20"/>
          <w:szCs w:val="20"/>
          <w:color w:val="auto"/>
        </w:rPr>
      </w:pPr>
    </w:p>
    <w:p>
      <w:pPr>
        <w:ind w:right="340" w:firstLine="395"/>
        <w:spacing w:after="0" w:line="278" w:lineRule="auto"/>
        <w:rPr>
          <w:sz w:val="20"/>
          <w:szCs w:val="20"/>
          <w:color w:val="auto"/>
        </w:rPr>
      </w:pPr>
      <w:r>
        <w:rPr>
          <w:rFonts w:ascii="Arial" w:cs="Arial" w:eastAsia="Arial" w:hAnsi="Arial"/>
          <w:sz w:val="16"/>
          <w:szCs w:val="16"/>
          <w:color w:val="auto"/>
        </w:rPr>
        <w:t>We believe the pandemic has also contributed to higher partner and services revenue through increased platform transaction volume with our technology partners. Partner and services revenue grew year-over-year by 51.8%, 74.3%, 82.1%, and 54.3% in the first quarter, second quarter third quarter, and fourth quarter of 2020, respectively.</w:t>
      </w:r>
    </w:p>
    <w:p>
      <w:pPr>
        <w:spacing w:after="0" w:line="184" w:lineRule="exact"/>
        <w:rPr>
          <w:sz w:val="20"/>
          <w:szCs w:val="20"/>
          <w:color w:val="auto"/>
        </w:rPr>
      </w:pPr>
    </w:p>
    <w:p>
      <w:pPr>
        <w:ind w:right="480" w:firstLine="395"/>
        <w:spacing w:after="0" w:line="293" w:lineRule="auto"/>
        <w:rPr>
          <w:sz w:val="20"/>
          <w:szCs w:val="20"/>
          <w:color w:val="auto"/>
        </w:rPr>
      </w:pPr>
      <w:r>
        <w:rPr>
          <w:rFonts w:ascii="Arial" w:cs="Arial" w:eastAsia="Arial" w:hAnsi="Arial"/>
          <w:sz w:val="16"/>
          <w:szCs w:val="16"/>
          <w:color w:val="auto"/>
        </w:rPr>
        <w:t>While we expect the macroeconomic shift towards ecommerce to continue after the COVID-19 pandemic abates, elevated levels of new customer bookings and platform transaction volume may recede as pandemic-related restrictions eventually ease.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1" w:lineRule="exact"/>
        <w:rPr>
          <w:sz w:val="20"/>
          <w:szCs w:val="20"/>
          <w:color w:val="auto"/>
        </w:rPr>
      </w:pPr>
    </w:p>
    <w:p>
      <w:pPr>
        <w:ind w:right="340" w:firstLine="395"/>
        <w:spacing w:after="0" w:line="273" w:lineRule="auto"/>
        <w:rPr>
          <w:sz w:val="20"/>
          <w:szCs w:val="20"/>
          <w:color w:val="auto"/>
        </w:rPr>
      </w:pPr>
      <w:r>
        <w:rPr>
          <w:rFonts w:ascii="Arial" w:cs="Arial" w:eastAsia="Arial" w:hAnsi="Arial"/>
          <w:sz w:val="16"/>
          <w:szCs w:val="16"/>
          <w:color w:val="auto"/>
        </w:rPr>
        <w:t>Online shopping behaviors are evolving as ecommerce adoption is accelerating around the world. This puts tremendous pressure on businesses to pursue digital transformation with technology that innovates as fast as the market. Consumers are rapidly changing how they shop across online and offline channels. Businesses must address the breadth of touch points influencing what and where shoppers buy, including content sites (information and influencers), social networks, search engines, marketplaces, and of course, their own branded sites. While consumer brands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historically relied on retail distribution for their products, ecommerce enables a new model of direct-to-consumer, vertically-integrated digitally native brands. Historically, B2B ecommerce adoption has lagged that of B2C, but that is changing. B2B sellers are embracing digital transformation in pursuit of both efficiency and sales effectiveness, in response to business buyers whose user experience expectations have been reshaped by B2C shopping.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infrastructure and operations</w:t>
      </w:r>
    </w:p>
    <w:p>
      <w:pPr>
        <w:spacing w:after="0" w:line="131" w:lineRule="exact"/>
        <w:rPr>
          <w:sz w:val="20"/>
          <w:szCs w:val="20"/>
          <w:color w:val="auto"/>
        </w:rPr>
      </w:pPr>
    </w:p>
    <w:p>
      <w:pPr>
        <w:ind w:right="240" w:firstLine="395"/>
        <w:spacing w:after="0" w:line="305" w:lineRule="auto"/>
        <w:rPr>
          <w:sz w:val="20"/>
          <w:szCs w:val="20"/>
          <w:color w:val="auto"/>
        </w:rPr>
      </w:pPr>
      <w:r>
        <w:rPr>
          <w:rFonts w:ascii="Arial" w:cs="Arial" w:eastAsia="Arial" w:hAnsi="Arial"/>
          <w:sz w:val="15"/>
          <w:szCs w:val="15"/>
          <w:color w:val="auto"/>
        </w:rPr>
        <w:t>We have designed our platform with enterprise-grade security, reliability, and scalability as top priorities. Our platform is built using best-of-breed open source technologies, deployed across geographically-distributed data centers, primarily on Google Cloud Platform. Our platform is subject to a rigorous set of security standards designed to ensure the security of customer data. Our server response time and page-load speeds are faster than other leading ecommerce platforms.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31" w:lineRule="exact"/>
        <w:rPr>
          <w:sz w:val="20"/>
          <w:szCs w:val="20"/>
          <w:color w:val="auto"/>
        </w:rPr>
      </w:pPr>
    </w:p>
    <w:p>
      <w:pPr>
        <w:jc w:val="both"/>
        <w:ind w:right="300" w:firstLine="395"/>
        <w:spacing w:after="0" w:line="278" w:lineRule="auto"/>
        <w:rPr>
          <w:sz w:val="20"/>
          <w:szCs w:val="20"/>
          <w:color w:val="auto"/>
        </w:rPr>
      </w:pPr>
      <w:r>
        <w:rPr>
          <w:rFonts w:ascii="Arial" w:cs="Arial" w:eastAsia="Arial" w:hAnsi="Arial"/>
          <w:sz w:val="16"/>
          <w:szCs w:val="16"/>
          <w:color w:val="auto"/>
        </w:rPr>
        <w:t>We serve a range of customer sizes, geographies, and customer segments including B2C, B2B, and DNBs. We distinguish market segments based on annual gross merchandise volume (“GMV”) per site, specifically: SMB ($0 to $1 million), mid-market ($1 million to $50 million), and large enterprise (greater than $50 million). No individual customer represented more than 5% of our total revenue in the fiscal year ended December 31, 2020.</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International presence</w:t>
      </w:r>
    </w:p>
    <w:p>
      <w:pPr>
        <w:spacing w:after="0" w:line="131" w:lineRule="exact"/>
        <w:rPr>
          <w:sz w:val="20"/>
          <w:szCs w:val="20"/>
          <w:color w:val="auto"/>
        </w:rPr>
      </w:pPr>
    </w:p>
    <w:p>
      <w:pPr>
        <w:ind w:right="240" w:firstLine="395"/>
        <w:spacing w:after="0" w:line="278" w:lineRule="auto"/>
        <w:rPr>
          <w:sz w:val="20"/>
          <w:szCs w:val="20"/>
          <w:color w:val="auto"/>
        </w:rPr>
      </w:pPr>
      <w:r>
        <w:rPr>
          <w:rFonts w:ascii="Arial" w:cs="Arial" w:eastAsia="Arial" w:hAnsi="Arial"/>
          <w:sz w:val="16"/>
          <w:szCs w:val="16"/>
          <w:color w:val="auto"/>
        </w:rPr>
        <w:t>We serve customers in approximately 155 countries. Our platform enables businesses to create stores in the consumer-facing language and currency of their choice. For the administrative control panel used by our customers to create and manage their stores, we currently allow our customers to select among a range of languages, including English, Chinese, French, Spanish, Italian, and Ukrainian. We plan to add additional languages throughout 2021.</w:t>
      </w:r>
    </w:p>
    <w:p>
      <w:pPr>
        <w:spacing w:after="0" w:line="184" w:lineRule="exact"/>
        <w:rPr>
          <w:sz w:val="20"/>
          <w:szCs w:val="20"/>
          <w:color w:val="auto"/>
        </w:rPr>
      </w:pPr>
    </w:p>
    <w:p>
      <w:pPr>
        <w:ind w:right="180" w:firstLine="395"/>
        <w:spacing w:after="0" w:line="315" w:lineRule="auto"/>
        <w:rPr>
          <w:sz w:val="20"/>
          <w:szCs w:val="20"/>
          <w:color w:val="auto"/>
        </w:rPr>
      </w:pPr>
      <w:r>
        <w:rPr>
          <w:rFonts w:ascii="Arial" w:cs="Arial" w:eastAsia="Arial" w:hAnsi="Arial"/>
          <w:sz w:val="14"/>
          <w:szCs w:val="14"/>
          <w:color w:val="auto"/>
        </w:rPr>
        <w:t>We maintain our headquarters in Austin, Texas, and approximately 85% of our employees are located in the United States, as of December 31, 2020. We were originally founded in Sydney, Australia. In 2019, we expanded the size of the Sydney sales and marketing team, established our first presence in Asia, and hired our first regional vice president and general manager of APAC, driving a 38% and 28% APAC revenue growth in 2020 and 2019, respectively. Before opening our first European office in London in July 2018, we had already acquired several thousand customers in Europe. The London office, along with the cost-effective scaling of our product and engineering talent in Kyiv, Ukraine, resulted in accelerating EMEA revenue growth of 68% and 20% in 2020 and 2019, respectively. Our platform continues to enable customers to self-serve globally, including in regions in which we lack a local business presence, such as Latin America, Africa, and the Middle East.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industry is highly competitive. We believe we can compete on the principal competitive factors in our market.</w:t>
      </w:r>
    </w:p>
    <w:p>
      <w:pPr>
        <w:spacing w:after="0" w:line="127" w:lineRule="exact"/>
        <w:rPr>
          <w:sz w:val="20"/>
          <w:szCs w:val="20"/>
          <w:color w:val="auto"/>
        </w:rPr>
      </w:pPr>
    </w:p>
    <w:p>
      <w:pPr>
        <w:jc w:val="both"/>
        <w:ind w:right="480" w:firstLine="395"/>
        <w:spacing w:after="0" w:line="278" w:lineRule="auto"/>
        <w:rPr>
          <w:sz w:val="20"/>
          <w:szCs w:val="20"/>
          <w:color w:val="auto"/>
        </w:rPr>
      </w:pPr>
      <w:r>
        <w:rPr>
          <w:rFonts w:ascii="Arial" w:cs="Arial" w:eastAsia="Arial" w:hAnsi="Arial"/>
          <w:sz w:val="16"/>
          <w:szCs w:val="16"/>
          <w:color w:val="auto"/>
        </w:rPr>
        <w:t>In the mid-market and large enterprise segments, our primary competitors are Magento (an Adobe company), Salesforce Commerce Cloud (formerly known as Demandware), and Shopify Plus. In the SMB segment, our primary competitors are Shopify and WooCommerce. BuiltWith has identified more than 500 platforms of various sizes around the world.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right="580" w:firstLine="395"/>
        <w:spacing w:after="0" w:line="293" w:lineRule="auto"/>
        <w:rPr>
          <w:sz w:val="20"/>
          <w:szCs w:val="20"/>
          <w:color w:val="auto"/>
        </w:rPr>
      </w:pPr>
      <w:r>
        <w:rPr>
          <w:rFonts w:ascii="Arial" w:cs="Arial" w:eastAsia="Arial" w:hAnsi="Arial"/>
          <w:sz w:val="16"/>
          <w:szCs w:val="16"/>
          <w:color w:val="auto"/>
        </w:rPr>
        <w:t>We rely on a combination of trade secret, trademark, copyright, patent, and other intellectual property laws to protect our intellectual property. We also rely on contractual arrangements, such as license, assignment, and confidentiality agreements, and technical measures.</w:t>
      </w:r>
    </w:p>
    <w:p>
      <w:pPr>
        <w:spacing w:after="0" w:line="64" w:lineRule="exact"/>
        <w:rPr>
          <w:sz w:val="20"/>
          <w:szCs w:val="20"/>
          <w:color w:val="auto"/>
        </w:rPr>
      </w:pPr>
    </w:p>
    <w:p>
      <w:pPr>
        <w:ind w:right="200" w:firstLine="395"/>
        <w:spacing w:after="0" w:line="278" w:lineRule="auto"/>
        <w:rPr>
          <w:sz w:val="20"/>
          <w:szCs w:val="20"/>
          <w:color w:val="auto"/>
        </w:rPr>
      </w:pPr>
      <w:r>
        <w:rPr>
          <w:rFonts w:ascii="Arial" w:cs="Arial" w:eastAsia="Arial" w:hAnsi="Arial"/>
          <w:sz w:val="16"/>
          <w:szCs w:val="16"/>
          <w:color w:val="auto"/>
        </w:rPr>
        <w:t>We have two issued patents in the United States, which expire February 10, 2035 and March 20, 2036, respectively. We have been issued federal registrations for trademarks, including “BigCommerce,” related stylized marks, and “Make It Big,” and have multiple pending trademark applications. We hold domestic and international domain names that include “BigCommerce” and similar variations.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Resources</w:t>
      </w:r>
    </w:p>
    <w:p>
      <w:pPr>
        <w:spacing w:after="0" w:line="131" w:lineRule="exact"/>
        <w:rPr>
          <w:sz w:val="20"/>
          <w:szCs w:val="20"/>
          <w:color w:val="auto"/>
        </w:rPr>
      </w:pPr>
    </w:p>
    <w:p>
      <w:pPr>
        <w:ind w:firstLine="395"/>
        <w:spacing w:after="0" w:line="269" w:lineRule="auto"/>
        <w:rPr>
          <w:sz w:val="20"/>
          <w:szCs w:val="20"/>
          <w:color w:val="auto"/>
        </w:rPr>
      </w:pPr>
      <w:r>
        <w:rPr>
          <w:rFonts w:ascii="Arial" w:cs="Arial" w:eastAsia="Arial" w:hAnsi="Arial"/>
          <w:sz w:val="16"/>
          <w:szCs w:val="16"/>
          <w:color w:val="auto"/>
        </w:rPr>
        <w:t>As of December 31, 2020, we had 813 full-time employees, including 190 in research and development, 231 in sales and marketing, and 392 in general and administrative, professional services, and customer support. Of these employees, 691 are in the United States and 122 are in our international locations. We consider our culture and employees to be vital to our success. We have invested substantial time and resources in building our team. We are highly dependent on our management, highly-skilled software engineers, and sales personnel, and it is crucial that we continue to attract and retain valuable employees. To facilitate attraction and retention, we strive to make BigCommerce a diverse, inclusive, and safe workplace, with opportunities for our employees to grow and develop in their careers, supported by strong compensation and benefits programs. None of our employees are represented by a labor union or covered by collective bargaining agreements, and we have not experienced any work stoppages.</w:t>
      </w:r>
    </w:p>
    <w:p>
      <w:pPr>
        <w:spacing w:after="0" w:line="190" w:lineRule="exact"/>
        <w:rPr>
          <w:sz w:val="20"/>
          <w:szCs w:val="20"/>
          <w:color w:val="auto"/>
        </w:rPr>
      </w:pPr>
    </w:p>
    <w:p>
      <w:pPr>
        <w:ind w:right="320" w:firstLine="395"/>
        <w:spacing w:after="0" w:line="293" w:lineRule="auto"/>
        <w:rPr>
          <w:sz w:val="20"/>
          <w:szCs w:val="20"/>
          <w:color w:val="auto"/>
        </w:rPr>
      </w:pPr>
      <w:r>
        <w:rPr>
          <w:rFonts w:ascii="Arial" w:cs="Arial" w:eastAsia="Arial" w:hAnsi="Arial"/>
          <w:sz w:val="16"/>
          <w:szCs w:val="16"/>
          <w:color w:val="auto"/>
        </w:rPr>
        <w:t>A portion of our services are provided using Ukrainian development specialists. These Ukrainian development specialists, who provide services on our behalf, are registered as “private entrepreneurs” with the tax authorities of Ukraine and operate as independent contractors.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Culture and values</w:t>
      </w:r>
    </w:p>
    <w:p>
      <w:pPr>
        <w:spacing w:after="0" w:line="127" w:lineRule="exact"/>
        <w:rPr>
          <w:sz w:val="20"/>
          <w:szCs w:val="20"/>
          <w:color w:val="auto"/>
        </w:rPr>
      </w:pPr>
    </w:p>
    <w:p>
      <w:pPr>
        <w:ind w:right="440" w:firstLine="395"/>
        <w:spacing w:after="0" w:line="293" w:lineRule="auto"/>
        <w:rPr>
          <w:sz w:val="20"/>
          <w:szCs w:val="20"/>
          <w:color w:val="auto"/>
        </w:rPr>
      </w:pPr>
      <w:r>
        <w:rPr>
          <w:rFonts w:ascii="Arial" w:cs="Arial" w:eastAsia="Arial" w:hAnsi="Arial"/>
          <w:sz w:val="16"/>
          <w:szCs w:val="16"/>
          <w:color w:val="auto"/>
        </w:rPr>
        <w:t>Our culture is built on our corporate values: Customers First, Team on a Mission, Think Big, Act with Integrity, and Make a Difference Every Day. Together our values and caring culture create an atmosphere that enables us to successfully recruit and retain talented and passionate team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members. Our team members are our “secret sauce.” Their dedication, talent, and spirit create a virtuous cycle of service, product excellence, and customer satisfaction.</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have frequently won “best places to work” public recognition across our largest work centers of Austin, Texas; San Francisco, California; and Sydney, Australia.</w:t>
      </w:r>
    </w:p>
    <w:p>
      <w:pPr>
        <w:spacing w:after="0" w:line="138" w:lineRule="exact"/>
        <w:rPr>
          <w:sz w:val="20"/>
          <w:szCs w:val="20"/>
          <w:color w:val="auto"/>
        </w:rPr>
      </w:pPr>
    </w:p>
    <w:p>
      <w:pPr>
        <w:ind w:right="560" w:firstLine="395"/>
        <w:spacing w:after="0" w:line="278" w:lineRule="auto"/>
        <w:rPr>
          <w:sz w:val="20"/>
          <w:szCs w:val="20"/>
          <w:color w:val="auto"/>
        </w:rPr>
      </w:pPr>
      <w:r>
        <w:rPr>
          <w:rFonts w:ascii="Arial" w:cs="Arial" w:eastAsia="Arial" w:hAnsi="Arial"/>
          <w:sz w:val="16"/>
          <w:szCs w:val="16"/>
          <w:color w:val="auto"/>
        </w:rPr>
        <w:t>Our mission is to power global ecommerce success by delivering the industry’s best and most versatile multi-tenant SaaS platform. This mission inspires our employees, who join BigCommerce to accomplish great things for our customers, partners and each other. We, in turn, commit to helping our employees thrive in an environment that is fun, fast-paced, and challenging.</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131" w:lineRule="exact"/>
        <w:rPr>
          <w:sz w:val="20"/>
          <w:szCs w:val="20"/>
          <w:color w:val="auto"/>
        </w:rPr>
      </w:pPr>
    </w:p>
    <w:p>
      <w:pPr>
        <w:ind w:right="40" w:firstLine="395"/>
        <w:spacing w:after="0" w:line="273" w:lineRule="auto"/>
        <w:rPr>
          <w:sz w:val="20"/>
          <w:szCs w:val="20"/>
          <w:color w:val="auto"/>
        </w:rPr>
      </w:pPr>
      <w:r>
        <w:rPr>
          <w:rFonts w:ascii="Arial" w:cs="Arial" w:eastAsia="Arial" w:hAnsi="Arial"/>
          <w:sz w:val="16"/>
          <w:szCs w:val="16"/>
          <w:color w:val="auto"/>
        </w:rPr>
        <w:t>Our worldwide corporate headquarters is located in Austin, Texas. It covers 70,682 square feet pursuant to an operating lease that expires in 2028. We also have office locations in London, San Francisco, and Sydney, Australia. We believe our current facilities are suitable and adequate to meet our current needs. We intend to add new facilities or expand existing facilities as we add employees, and we believe suitable additional or substitute space will be available as needed to accommodate any such expansion of our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considerations</w:t>
      </w:r>
    </w:p>
    <w:p>
      <w:pPr>
        <w:spacing w:after="0" w:line="131" w:lineRule="exact"/>
        <w:rPr>
          <w:sz w:val="20"/>
          <w:szCs w:val="20"/>
          <w:color w:val="auto"/>
        </w:rPr>
      </w:pPr>
    </w:p>
    <w:p>
      <w:pPr>
        <w:ind w:right="160" w:firstLine="395"/>
        <w:spacing w:after="0" w:line="293" w:lineRule="auto"/>
        <w:rPr>
          <w:sz w:val="20"/>
          <w:szCs w:val="20"/>
          <w:color w:val="auto"/>
        </w:rPr>
      </w:pPr>
      <w:r>
        <w:rPr>
          <w:rFonts w:ascii="Arial" w:cs="Arial" w:eastAsia="Arial" w:hAnsi="Arial"/>
          <w:sz w:val="15"/>
          <w:szCs w:val="15"/>
          <w:color w:val="auto"/>
        </w:rPr>
        <w:t>The legal environment of internet-based businesses, both in the United States and internationally, is evolving rapidly and is often unclear. For example, we occasionally cannot be certain which laws will be deemed applicable to us given the global nature of our business. This ambiguity includes topics such as data privacy and security, pricing, advertising, taxation, content regulation, and intellectual property ownership and infringement. See the section titled “Risk Factors—Risks related to our business and industry—Evolving global internet laws, regulations and standards, privacy regulations, cross-border data transfer restrictions, and data localization requirements, may limit the use and adoption of our services, expose us to liability, or otherwise adversely affect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31" w:lineRule="exact"/>
        <w:rPr>
          <w:sz w:val="20"/>
          <w:szCs w:val="20"/>
          <w:color w:val="auto"/>
        </w:rPr>
      </w:pPr>
    </w:p>
    <w:p>
      <w:pPr>
        <w:ind w:firstLine="395"/>
        <w:spacing w:after="0" w:line="291" w:lineRule="auto"/>
        <w:rPr>
          <w:sz w:val="20"/>
          <w:szCs w:val="20"/>
          <w:color w:val="auto"/>
        </w:rPr>
      </w:pPr>
      <w:r>
        <w:rPr>
          <w:rFonts w:ascii="Arial" w:cs="Arial" w:eastAsia="Arial" w:hAnsi="Arial"/>
          <w:sz w:val="15"/>
          <w:szCs w:val="15"/>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31" w:lineRule="exact"/>
        <w:rPr>
          <w:sz w:val="20"/>
          <w:szCs w:val="20"/>
          <w:color w:val="auto"/>
        </w:rPr>
      </w:pPr>
    </w:p>
    <w:p>
      <w:pPr>
        <w:jc w:val="both"/>
        <w:ind w:right="220" w:firstLine="395"/>
        <w:spacing w:after="0" w:line="273" w:lineRule="auto"/>
        <w:rPr>
          <w:sz w:val="20"/>
          <w:szCs w:val="20"/>
          <w:color w:val="auto"/>
        </w:rPr>
      </w:pPr>
      <w:r>
        <w:rPr>
          <w:rFonts w:ascii="Arial" w:cs="Arial" w:eastAsia="Arial" w:hAnsi="Arial"/>
          <w:sz w:val="16"/>
          <w:szCs w:val="16"/>
          <w:color w:val="auto"/>
        </w:rPr>
        <w:t>Our internet website is www.bigcommerce.com. We make available, free of charge through our website, our Form 10-Ks, 10-Qs and 8-Ks, and any amendments to these forms, as soon as reasonably practicable after filing with, or furnishing to, the Securities and Exchange Commission (“SEC”). Information contained in our website does not constitute a part of this report or our other filings with the SEC. In addition, the SEC maintains an Internet site (http://www.sec.gov) that contains reports, proxy and information statements, and other information regarding issuers that file electronically with the SEC.</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 Summary</w:t>
      </w:r>
    </w:p>
    <w:p>
      <w:pPr>
        <w:spacing w:after="0" w:line="239" w:lineRule="exact"/>
        <w:rPr>
          <w:sz w:val="20"/>
          <w:szCs w:val="20"/>
          <w:color w:val="auto"/>
        </w:rPr>
      </w:pPr>
    </w:p>
    <w:p>
      <w:pPr>
        <w:ind w:right="380" w:firstLine="374"/>
        <w:spacing w:after="0" w:line="293" w:lineRule="auto"/>
        <w:rPr>
          <w:sz w:val="20"/>
          <w:szCs w:val="20"/>
          <w:color w:val="auto"/>
        </w:rPr>
      </w:pPr>
      <w:r>
        <w:rPr>
          <w:rFonts w:ascii="Arial" w:cs="Arial" w:eastAsia="Arial" w:hAnsi="Arial"/>
          <w:sz w:val="16"/>
          <w:szCs w:val="16"/>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their entirety for additional information regarding the material factors that make an investment in our securities speculative or risky. These risks and uncertainties include, but are not limited to, the following:</w:t>
      </w:r>
    </w:p>
    <w:p>
      <w:pPr>
        <w:spacing w:after="0" w:line="172"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operating losses, and we may not be able to generate sufficient revenue to achieve and sustain profitability;</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experienced strong growth in recent periods, and our recent growth rates may not be indicative of our future growth;</w:t>
      </w:r>
    </w:p>
    <w:p>
      <w:pPr>
        <w:spacing w:after="0" w:line="32" w:lineRule="exact"/>
        <w:rPr>
          <w:rFonts w:ascii="Arial" w:cs="Arial" w:eastAsia="Arial" w:hAnsi="Arial"/>
          <w:sz w:val="16"/>
          <w:szCs w:val="16"/>
          <w:color w:val="auto"/>
        </w:rPr>
      </w:pPr>
    </w:p>
    <w:p>
      <w:pPr>
        <w:ind w:left="740" w:right="8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face intense competition and may lack sufficient financial or other resources to maintain or improve our competitive position, which may harm our ability to add new customers, retain existing customers, and grow our business;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COVID-19 pandemic and the associated economic uncertainty and our response may continue to impact us, our customers, and our partners;</w:t>
      </w:r>
    </w:p>
    <w:p>
      <w:pPr>
        <w:spacing w:after="0" w:line="28" w:lineRule="exact"/>
        <w:rPr>
          <w:rFonts w:ascii="Arial" w:cs="Arial" w:eastAsia="Arial" w:hAnsi="Arial"/>
          <w:sz w:val="16"/>
          <w:szCs w:val="16"/>
          <w:color w:val="auto"/>
        </w:rPr>
      </w:pPr>
    </w:p>
    <w:p>
      <w:pPr>
        <w:ind w:left="740" w:right="6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revenue and operating results will be harmed if we are unable to acquire new customers or the growth in ecommerce during the COVID-19 pandemic fails to continue after the pandemic ends.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success depends in part on our partner-centric strategy;</w:t>
      </w:r>
    </w:p>
    <w:p>
      <w:pPr>
        <w:spacing w:after="0" w:line="28"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limited operating history, which makes it difficult to forecast our future results of operations;</w:t>
      </w:r>
    </w:p>
    <w:p>
      <w:pPr>
        <w:spacing w:after="0" w:line="32" w:lineRule="exact"/>
        <w:rPr>
          <w:rFonts w:ascii="Arial" w:cs="Arial" w:eastAsia="Arial" w:hAnsi="Arial"/>
          <w:sz w:val="16"/>
          <w:szCs w:val="16"/>
          <w:color w:val="auto"/>
        </w:rPr>
      </w:pPr>
    </w:p>
    <w:p>
      <w:pPr>
        <w:ind w:left="740" w:right="16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effectively develop and expand our marketing and sales capabilities could harm our ability to increase our customer base and achieve broader market acceptance of our platform;</w:t>
      </w:r>
    </w:p>
    <w:p>
      <w:pPr>
        <w:spacing w:after="0" w:line="1" w:lineRule="exact"/>
        <w:rPr>
          <w:rFonts w:ascii="Arial" w:cs="Arial" w:eastAsia="Arial" w:hAnsi="Arial"/>
          <w:sz w:val="16"/>
          <w:szCs w:val="16"/>
          <w:color w:val="auto"/>
        </w:rPr>
      </w:pPr>
    </w:p>
    <w:p>
      <w:pPr>
        <w:jc w:val="both"/>
        <w:ind w:left="740" w:right="20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the extent our security measures are actually or believed to have been compromised, our platform may be perceived as not being secure. This may result in customers curtailing or ceasing their use of our platform, our reputation being harmed, our incurring significant liabilities, and adverse effects on our results of operations and growth prospects;</w:t>
      </w: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Increases in cost, interruptions in service, latency, or poor service from our third-party data center providers could impair the delivery of our platform;</w:t>
      </w:r>
    </w:p>
    <w:p>
      <w:pPr>
        <w:spacing w:after="0" w:line="28" w:lineRule="exact"/>
        <w:rPr>
          <w:rFonts w:ascii="Arial" w:cs="Arial" w:eastAsia="Arial" w:hAnsi="Arial"/>
          <w:sz w:val="16"/>
          <w:szCs w:val="16"/>
          <w:color w:val="auto"/>
        </w:rPr>
      </w:pPr>
    </w:p>
    <w:p>
      <w:pPr>
        <w:ind w:left="74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there are interruptions or performance problems associated with our technology or infrastructure, our customers, partners and prospects may experience service outages, and delays in using our platform;</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need to reduce or change our pricing model to remain competitive;</w:t>
      </w:r>
    </w:p>
    <w:p>
      <w:pPr>
        <w:spacing w:after="0" w:line="28"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sales cycle with mid-market and large enterprise customers can be long and unpredictable, and our sales efforts require considerable time and expense;</w:t>
      </w:r>
    </w:p>
    <w:p>
      <w:pPr>
        <w:spacing w:after="0" w:line="43" w:lineRule="exact"/>
        <w:rPr>
          <w:rFonts w:ascii="Arial" w:cs="Arial" w:eastAsia="Arial" w:hAnsi="Arial"/>
          <w:sz w:val="15"/>
          <w:szCs w:val="15"/>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maintain or grow our brand recognition, our ability to expand our customer base will be impaired and our financial condition may suffer;</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offer high quality support, our business and reputation could suffer;</w:t>
      </w:r>
    </w:p>
    <w:p>
      <w:pPr>
        <w:spacing w:after="0" w:line="32" w:lineRule="exact"/>
        <w:rPr>
          <w:rFonts w:ascii="Arial" w:cs="Arial" w:eastAsia="Arial" w:hAnsi="Arial"/>
          <w:sz w:val="16"/>
          <w:szCs w:val="16"/>
          <w:color w:val="auto"/>
        </w:rPr>
      </w:pPr>
    </w:p>
    <w:p>
      <w:pPr>
        <w:ind w:left="740" w:right="44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security of this information is compromised or is otherwise accessed without authorization, our reputation may be harmed and we may be exposed to liability and loss of business;</w:t>
      </w:r>
    </w:p>
    <w:p>
      <w:pPr>
        <w:spacing w:after="0" w:line="1" w:lineRule="exact"/>
        <w:rPr>
          <w:rFonts w:ascii="Arial" w:cs="Arial" w:eastAsia="Arial" w:hAnsi="Arial"/>
          <w:sz w:val="16"/>
          <w:szCs w:val="16"/>
          <w:color w:val="auto"/>
        </w:rPr>
      </w:pPr>
    </w:p>
    <w:p>
      <w:pPr>
        <w:ind w:left="740" w:right="8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Evolving global laws, regulations and standards, privacy regulations, cross-border data transfer restrictions, and data localization requirements may limit the use and adoption of our services, expose us to liability, or otherwise adversely affect our business;</w:t>
      </w:r>
    </w:p>
    <w:p>
      <w:pPr>
        <w:ind w:left="740" w:right="46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Mobile devices are increasingly being used to conduct commerce. If our platform does not operate as effectively when accessed through these devices, our customers and their shoppers may not be satisfied with our services, which could harm our business;</w:t>
      </w: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Activities of customers, their shoppers, and our partners could damage our brand, subject us to liability and harm our business and financial results;</w:t>
      </w:r>
    </w:p>
    <w:p>
      <w:pPr>
        <w:spacing w:after="0" w:line="28" w:lineRule="exact"/>
        <w:rPr>
          <w:rFonts w:ascii="Arial" w:cs="Arial" w:eastAsia="Arial" w:hAnsi="Arial"/>
          <w:sz w:val="16"/>
          <w:szCs w:val="16"/>
          <w:color w:val="auto"/>
        </w:rPr>
      </w:pPr>
    </w:p>
    <w:p>
      <w:pPr>
        <w:ind w:left="740" w:right="12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could incur substantial costs in protecting or defending our proprietary rights. Failure to adequately protect our rights could impair our competitive position. We could lose valuable assets, experience reduced revenue, and incur costly litigation;</w:t>
      </w:r>
    </w:p>
    <w:p>
      <w:pPr>
        <w:spacing w:after="0" w:line="1" w:lineRule="exact"/>
        <w:rPr>
          <w:rFonts w:ascii="Arial" w:cs="Arial" w:eastAsia="Arial" w:hAnsi="Arial"/>
          <w:sz w:val="16"/>
          <w:szCs w:val="16"/>
          <w:color w:val="auto"/>
        </w:rPr>
      </w:pPr>
    </w:p>
    <w:p>
      <w:pPr>
        <w:jc w:val="both"/>
        <w:ind w:left="740" w:right="26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been, and may in the future be, subject to legal proceedings and litigation, including intellectual property disputes. Such disputes are costly and may subject us to significant liability and increased costs of doing business. Our business may suffer if it is alleged or determined that our technology infringes the intellectual property rights of others;</w:t>
      </w:r>
    </w:p>
    <w:p>
      <w:pPr>
        <w:ind w:left="740" w:right="2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inability to obtain third-party licenses for such software, or obtain them on favorable terms, or any errors or failures caused by such software could adversely affect our business, results of operations and financial condition;</w:t>
      </w:r>
    </w:p>
    <w:p>
      <w:pPr>
        <w:ind w:left="740" w:right="10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use of open source software could subject us to possible litigation or cause us to subject our platform to unwanted open source license conditions that could negatively impact our sales;</w:t>
      </w:r>
    </w:p>
    <w:p>
      <w:pPr>
        <w:ind w:left="740" w:right="40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our platform fails to perform properly, and if we fail to develop enhancements to resolve performance issues, we could lose customers, become subject to performance or warranty claims, or incur significant costs;</w:t>
      </w:r>
    </w:p>
    <w:p>
      <w:pPr>
        <w:ind w:left="740" w:right="44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Payment transactions on our ecommerce platform subject us to regulatory requirements, additional fees, and other risks that could be costly and difficult to comply with or that could harm our business;</w:t>
      </w: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provide our ecommerce platform to businesses in highly-regulated industries, which subjects us to a number of challenges and risks;</w:t>
      </w:r>
    </w:p>
    <w:p>
      <w:pPr>
        <w:spacing w:after="0" w:line="28"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use our net operating losses to offset future taxable income may be subject to certain limitations;</w:t>
      </w:r>
    </w:p>
    <w:p>
      <w:pPr>
        <w:spacing w:after="0" w:line="32" w:lineRule="exact"/>
        <w:rPr>
          <w:rFonts w:ascii="Arial" w:cs="Arial" w:eastAsia="Arial" w:hAnsi="Arial"/>
          <w:sz w:val="16"/>
          <w:szCs w:val="16"/>
          <w:color w:val="auto"/>
        </w:rPr>
      </w:pPr>
    </w:p>
    <w:p>
      <w:pPr>
        <w:ind w:left="740" w:right="60" w:hanging="368"/>
        <w:spacing w:after="0" w:line="284" w:lineRule="auto"/>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Changes in tax laws or regulations that are applied adversely to us or our customers could increase the cost of our ecommerce platform and adversely impact our business. We may be subject to tax liability for past sales or lose certain tax benefits that we enjoy in Ukraine, which could harm our business;</w:t>
      </w: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market price of shares of our Series 1 common stock has been volatile, which could cause the value of your investment to decline;</w:t>
      </w:r>
    </w:p>
    <w:p>
      <w:pPr>
        <w:spacing w:after="0" w:line="28" w:lineRule="exact"/>
        <w:rPr>
          <w:rFonts w:ascii="Arial" w:cs="Arial" w:eastAsia="Arial" w:hAnsi="Arial"/>
          <w:sz w:val="16"/>
          <w:szCs w:val="16"/>
          <w:color w:val="auto"/>
        </w:rPr>
      </w:pPr>
    </w:p>
    <w:p>
      <w:pPr>
        <w:ind w:left="740" w:right="120" w:hanging="368"/>
        <w:spacing w:after="0" w:line="266"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failure to raise capital when needed could harm our business, operating results and financial condition. Debt or equity issued to raise additional capital may reduce the value of our Series 1 common stock;</w:t>
      </w:r>
    </w:p>
    <w:p>
      <w:pPr>
        <w:spacing w:after="0" w:line="1" w:lineRule="exact"/>
        <w:rPr>
          <w:rFonts w:ascii="Arial" w:cs="Arial" w:eastAsia="Arial" w:hAnsi="Arial"/>
          <w:sz w:val="16"/>
          <w:szCs w:val="16"/>
          <w:color w:val="auto"/>
        </w:rPr>
      </w:pPr>
    </w:p>
    <w:p>
      <w:pPr>
        <w:ind w:left="740" w:right="580" w:hanging="368"/>
        <w:spacing w:after="0" w:line="26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Insiders have substantial control over us, which may limit our stockholders’ ability to influence corporate matters and delay or prevent a third party from acquiring control over us;</w:t>
      </w:r>
    </w:p>
    <w:p>
      <w:pPr>
        <w:ind w:left="740" w:right="540" w:hanging="368"/>
        <w:spacing w:after="0" w:line="288"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our operating and financial performance in any given period does not meet the guidance that we provide to the public or the expectations of investment analysts, the market price of our Series 1 common stock may decline;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4" w:lineRule="exact"/>
        <w:rPr>
          <w:sz w:val="20"/>
          <w:szCs w:val="20"/>
          <w:color w:val="auto"/>
        </w:rPr>
      </w:pPr>
    </w:p>
    <w:p>
      <w:pPr>
        <w:ind w:left="740" w:right="20" w:hanging="368"/>
        <w:spacing w:after="0" w:line="265"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1" w:lineRule="exact"/>
        <w:rPr>
          <w:rFonts w:ascii="Arial" w:cs="Arial" w:eastAsia="Arial" w:hAnsi="Arial"/>
          <w:sz w:val="16"/>
          <w:szCs w:val="16"/>
          <w:color w:val="auto"/>
        </w:rPr>
      </w:pPr>
    </w:p>
    <w:p>
      <w:pPr>
        <w:ind w:left="740" w:right="300" w:hanging="36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implement and maintain effective internal control over financial reporting in the future, investors may lose confidence in the accuracy and completeness of our financial reports, and the market price of our common stock may decline;</w:t>
      </w: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Increases in interest rates may cause the market price of our common stock to decline;</w:t>
      </w:r>
    </w:p>
    <w:p>
      <w:pPr>
        <w:spacing w:after="0" w:line="28"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Provisions in our organizational documents and certain rules imposed by regulatory authorities may delay or prevent our acquisition by a third party;</w:t>
      </w:r>
    </w:p>
    <w:p>
      <w:pPr>
        <w:spacing w:after="0" w:line="32" w:lineRule="exact"/>
        <w:rPr>
          <w:rFonts w:ascii="Arial" w:cs="Arial" w:eastAsia="Arial" w:hAnsi="Arial"/>
          <w:sz w:val="16"/>
          <w:szCs w:val="16"/>
          <w:color w:val="auto"/>
        </w:rPr>
      </w:pPr>
    </w:p>
    <w:p>
      <w:pPr>
        <w:ind w:left="740" w:right="460" w:hanging="368"/>
        <w:spacing w:after="0" w:line="304" w:lineRule="auto"/>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provision of our amended and restated certificate of incorporation requiring exclusive venue in the Court of Chancery in the State of Delaware and the federal district courts of the United States for certain types of lawsuits may have the effect of discouraging lawsuits against our directors and officers;</w:t>
      </w:r>
    </w:p>
    <w:p>
      <w:pPr>
        <w:ind w:left="740" w:right="40" w:hanging="36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estimates of market opportunity and forecasts of market growth may prove to be inaccurate. Even if the market in which we compete achieves the forecasted growth, our business could fail to grow at similar rates, if at all;</w:t>
      </w: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anticipate that our operations will continue to increase in complexity as we grow, which will create management challenges;</w:t>
      </w:r>
    </w:p>
    <w:p>
      <w:pPr>
        <w:spacing w:after="0" w:line="28" w:lineRule="exact"/>
        <w:rPr>
          <w:rFonts w:ascii="Arial" w:cs="Arial" w:eastAsia="Arial" w:hAnsi="Arial"/>
          <w:sz w:val="16"/>
          <w:szCs w:val="16"/>
          <w:color w:val="auto"/>
        </w:rPr>
      </w:pPr>
    </w:p>
    <w:p>
      <w:pPr>
        <w:ind w:left="740" w:right="540" w:hanging="368"/>
        <w:spacing w:after="0" w:line="266"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depend on our senior management team and the loss of one or more key employees or an inability to attract and retain highly skilled employees could adversely affect our business;</w:t>
      </w:r>
    </w:p>
    <w:p>
      <w:pPr>
        <w:spacing w:after="0" w:line="1" w:lineRule="exact"/>
        <w:rPr>
          <w:rFonts w:ascii="Arial" w:cs="Arial" w:eastAsia="Arial" w:hAnsi="Arial"/>
          <w:sz w:val="16"/>
          <w:szCs w:val="16"/>
          <w:color w:val="auto"/>
        </w:rPr>
      </w:pPr>
    </w:p>
    <w:p>
      <w:pPr>
        <w:ind w:left="740" w:right="20" w:hanging="36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maintain our corporate culture as we grow, we could lose the innovation, teamwork, passion and focus on execution that we believe contribute to our success, and our business may be harmed;</w:t>
      </w:r>
    </w:p>
    <w:p>
      <w:pPr>
        <w:ind w:left="740" w:right="40" w:hanging="36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Unfavorable conditions in our industry or the global economy, or reductions in IT spending, could limit our ability to grow our business and negatively affect our results of operations;</w:t>
      </w:r>
    </w:p>
    <w:p>
      <w:pPr>
        <w:ind w:left="740" w:right="220" w:hanging="36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Natural catastrophic events and man-made problems such as power disruptions, computer viruses, global pandemics, data security breaches and terrorism may disrupt our business;</w:t>
      </w:r>
    </w:p>
    <w:p>
      <w:pPr>
        <w:ind w:left="740" w:hanging="368"/>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Indemnity provisions in various agreements potentially expose us to substantial liability for intellectual property infringement, data protection, and other losses;</w:t>
      </w:r>
    </w:p>
    <w:p>
      <w:pPr>
        <w:spacing w:after="0" w:line="39" w:lineRule="exact"/>
        <w:rPr>
          <w:rFonts w:ascii="Arial" w:cs="Arial" w:eastAsia="Arial" w:hAnsi="Arial"/>
          <w:sz w:val="15"/>
          <w:szCs w:val="15"/>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current operations are international in scope, and we plan further geographic expansion. This will create a variety of operational challenges;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international operations may subject us to potential adverse tax consequences;</w:t>
      </w:r>
    </w:p>
    <w:p>
      <w:pPr>
        <w:spacing w:after="0" w:line="32" w:lineRule="exact"/>
        <w:rPr>
          <w:rFonts w:ascii="Arial" w:cs="Arial" w:eastAsia="Arial" w:hAnsi="Arial"/>
          <w:sz w:val="16"/>
          <w:szCs w:val="16"/>
          <w:color w:val="auto"/>
        </w:rPr>
      </w:pPr>
    </w:p>
    <w:p>
      <w:pPr>
        <w:ind w:left="740" w:right="460" w:hanging="368"/>
        <w:spacing w:after="0" w:line="266"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governmental export and import controls that could impair our ability to compete in international markets and subject us to liability if we violate the controls;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exposed to fluctuations in currency exchange rates, which could negatively affect our operating results;</w:t>
      </w:r>
    </w:p>
    <w:p>
      <w:pPr>
        <w:spacing w:after="0" w:line="28" w:lineRule="exact"/>
        <w:rPr>
          <w:rFonts w:ascii="Arial" w:cs="Arial" w:eastAsia="Arial" w:hAnsi="Arial"/>
          <w:sz w:val="16"/>
          <w:szCs w:val="16"/>
          <w:color w:val="auto"/>
        </w:rPr>
      </w:pPr>
    </w:p>
    <w:p>
      <w:pPr>
        <w:ind w:left="740" w:right="200" w:hanging="368"/>
        <w:spacing w:after="0" w:line="266"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anti-corruption, anti-bribery, anti-money laundering, and similar laws. Non-compliance with such laws can subject us to criminal and/or civil liability and harm our business;</w:t>
      </w:r>
    </w:p>
    <w:p>
      <w:pPr>
        <w:spacing w:after="0" w:line="1" w:lineRule="exact"/>
        <w:rPr>
          <w:rFonts w:ascii="Arial" w:cs="Arial" w:eastAsia="Arial" w:hAnsi="Arial"/>
          <w:sz w:val="16"/>
          <w:szCs w:val="16"/>
          <w:color w:val="auto"/>
        </w:rPr>
      </w:pPr>
    </w:p>
    <w:p>
      <w:pPr>
        <w:ind w:left="740" w:hanging="368"/>
        <w:spacing w:after="0" w:line="264"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subjective assumptions, estimates and judgments by management related to complex accounting matters or changes in accounting principles generally accepted in the United States, could significantly affect our financial condition and results of operations;</w:t>
      </w: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not be able to secure sufficient additional financing on favorable terms, or at all, to meet our future capital needs</w:t>
      </w:r>
    </w:p>
    <w:p>
      <w:pPr>
        <w:spacing w:after="0" w:line="28" w:lineRule="exact"/>
        <w:rPr>
          <w:rFonts w:ascii="Arial" w:cs="Arial" w:eastAsia="Arial" w:hAnsi="Arial"/>
          <w:sz w:val="16"/>
          <w:szCs w:val="16"/>
          <w:color w:val="auto"/>
        </w:rPr>
      </w:pPr>
    </w:p>
    <w:p>
      <w:pPr>
        <w:ind w:left="740" w:right="10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31" w:lineRule="exact"/>
        <w:rPr>
          <w:sz w:val="20"/>
          <w:szCs w:val="20"/>
          <w:color w:val="auto"/>
        </w:rPr>
      </w:pPr>
    </w:p>
    <w:p>
      <w:pPr>
        <w:ind w:right="80" w:firstLine="510"/>
        <w:spacing w:after="0" w:line="289" w:lineRule="auto"/>
        <w:rPr>
          <w:sz w:val="20"/>
          <w:szCs w:val="20"/>
          <w:color w:val="auto"/>
        </w:rPr>
      </w:pPr>
      <w:r>
        <w:rPr>
          <w:rFonts w:ascii="Arial" w:cs="Arial" w:eastAsia="Arial" w:hAnsi="Arial"/>
          <w:sz w:val="15"/>
          <w:szCs w:val="15"/>
          <w:i w:val="1"/>
          <w:iCs w:val="1"/>
          <w:color w:val="auto"/>
        </w:rPr>
        <w:t>The following section discusses material risks and uncertainties that could adversely affect our business and financial condition. Investing in our Series 1 common stock involves substantial risks. You should carefully consider the following risk factors, as well as all of the other information contained in this Annual Report on Form 10-K, including “Management’s Discussion and Analysis of the Financial Condition and Results of Operations” and the consolidated financial statements and related notes thereto included elsewhere in this Annual Report on Form 10-K, before deciding to invest in our Series 1 common stock. Additional risks and uncertainties that we are unaware of may also become important factors that adversely affect our business. The occurrence of any of the following risks, or additional risks that we are unaware of, could materially and adversely affect our business, strategies, prospects, financial condition, results of operations and cash flows. In such case, the market price of our Series 1 common stock could decline, and you could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growth and profitability of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we may not be able to generate sufficient revenue to achieve and sustain profitability.</w:t>
      </w:r>
    </w:p>
    <w:p>
      <w:pPr>
        <w:spacing w:after="0" w:line="127" w:lineRule="exact"/>
        <w:rPr>
          <w:sz w:val="20"/>
          <w:szCs w:val="20"/>
          <w:color w:val="auto"/>
        </w:rPr>
      </w:pPr>
    </w:p>
    <w:p>
      <w:pPr>
        <w:ind w:right="100" w:firstLine="510"/>
        <w:spacing w:after="0" w:line="287" w:lineRule="auto"/>
        <w:rPr>
          <w:sz w:val="20"/>
          <w:szCs w:val="20"/>
          <w:color w:val="auto"/>
        </w:rPr>
      </w:pPr>
      <w:r>
        <w:rPr>
          <w:rFonts w:ascii="Arial" w:cs="Arial" w:eastAsia="Arial" w:hAnsi="Arial"/>
          <w:sz w:val="15"/>
          <w:szCs w:val="15"/>
          <w:color w:val="auto"/>
        </w:rPr>
        <w:t>We have not yet achieved profitability. We incurred net losses of $37.6 million, $42.6 million and $38.9 million for the years ended December 31, 2020, 2019, and 2018, respectively. As of December 31, 2020, we had an accumulated deficit of $313.4 million. While we have experienced significant revenue growth over recent periods, we may not be able to sustain or increase our growth or achieve profitability in the future. We intend to continue to invest in sales and marketing efforts, research and development, and expansion into new geographies. In addition, we expect to incur significant additional legal, accounting, and other expenses related to our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strong growth in recent periods, and our recent growth rates may not be indicative of our future growth.</w:t>
      </w:r>
    </w:p>
    <w:p>
      <w:pPr>
        <w:spacing w:after="0" w:line="127" w:lineRule="exact"/>
        <w:rPr>
          <w:sz w:val="20"/>
          <w:szCs w:val="20"/>
          <w:color w:val="auto"/>
        </w:rPr>
      </w:pPr>
    </w:p>
    <w:p>
      <w:pPr>
        <w:ind w:right="400" w:firstLine="510"/>
        <w:spacing w:after="0" w:line="293" w:lineRule="auto"/>
        <w:rPr>
          <w:sz w:val="20"/>
          <w:szCs w:val="20"/>
          <w:color w:val="auto"/>
        </w:rPr>
      </w:pPr>
      <w:r>
        <w:rPr>
          <w:rFonts w:ascii="Arial" w:cs="Arial" w:eastAsia="Arial" w:hAnsi="Arial"/>
          <w:sz w:val="16"/>
          <w:szCs w:val="16"/>
          <w:color w:val="auto"/>
        </w:rPr>
        <w:t>We have experienced strong growth in recent years. In future periods, we may not be able to sustain revenue growth consistent with recent history, or at all. We believe our revenue growth depends on a number of factors, including:</w:t>
      </w:r>
    </w:p>
    <w:p>
      <w:pPr>
        <w:spacing w:after="0" w:line="64"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attract new customers and retain and increase sales to existing customers;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partners;</w:t>
      </w:r>
    </w:p>
    <w:p>
      <w:pPr>
        <w:spacing w:after="0" w:line="140" w:lineRule="exact"/>
        <w:rPr>
          <w:rFonts w:ascii="Arial" w:cs="Arial" w:eastAsia="Arial" w:hAnsi="Arial"/>
          <w:sz w:val="16"/>
          <w:szCs w:val="16"/>
          <w:color w:val="auto"/>
        </w:rPr>
      </w:pPr>
    </w:p>
    <w:p>
      <w:pPr>
        <w:ind w:left="1000" w:right="200" w:hanging="493"/>
        <w:spacing w:after="0" w:line="293"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and the ability of our partners to, successfully implement our platform, increase our existing customers’ use of our platform, and provide our customers with excellent customer support;</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increase the number of our partners;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develop our existing platform and introduce new functionality to our platform;</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expand into new market segments and internationally;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earn revenue share and customer referrals from our partner ecosystem.</w:t>
      </w:r>
    </w:p>
    <w:p>
      <w:pPr>
        <w:spacing w:after="0" w:line="248"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5"/>
          <w:szCs w:val="15"/>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74"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b w:val="1"/>
          <w:bCs w:val="1"/>
          <w:i w:val="1"/>
          <w:iCs w:val="1"/>
          <w:color w:val="auto"/>
        </w:rPr>
        <w:t>Our future revenue and operating results will be harmed if we are unable to acquire new customers, retain existing customers, expand sales to our existing customers, develop new functionality for our platform that achieves market acceptance, or the increase in ecommerce during the COVID-19 pandemic fails to continue after the pandemic ends.</w:t>
      </w:r>
    </w:p>
    <w:p>
      <w:pPr>
        <w:spacing w:after="0" w:line="76" w:lineRule="exact"/>
        <w:rPr>
          <w:sz w:val="20"/>
          <w:szCs w:val="20"/>
          <w:color w:val="auto"/>
        </w:rPr>
      </w:pPr>
    </w:p>
    <w:p>
      <w:pPr>
        <w:jc w:val="both"/>
        <w:ind w:right="100" w:firstLine="510"/>
        <w:spacing w:after="0" w:line="293" w:lineRule="auto"/>
        <w:rPr>
          <w:sz w:val="20"/>
          <w:szCs w:val="20"/>
          <w:color w:val="auto"/>
        </w:rPr>
      </w:pPr>
      <w:r>
        <w:rPr>
          <w:rFonts w:ascii="Arial" w:cs="Arial" w:eastAsia="Arial" w:hAnsi="Arial"/>
          <w:sz w:val="15"/>
          <w:szCs w:val="15"/>
          <w:color w:val="auto"/>
        </w:rPr>
        <w:t>To continue to grow our business, it is important that we continue to acquire new customers to purchase and use our platform. Our success in adding new customers depends on numerous factors, including our ability to: (1) offer a compelling ecommerce platform, (2) execute our sales and marketing strategy, (3) attract, effectively train and retain new sales, marketing, professional services, and support personnel in the markets we pursue, (4) develop or expand relationships with partners, payment providers, systems integrators, and resellers, (5) expand into new geographies and market segments, (6) efficiently onboard new customers on to our platform, and (7) provide additional paid services that complement the capabilities of our customers and their partners.</w:t>
      </w:r>
    </w:p>
    <w:p>
      <w:pPr>
        <w:spacing w:after="0" w:line="176"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Our ability to increase revenue also depends in part on our ability to retain existing customers and to sell more functionality and adjacent services to our existing and new customers. Our customers have no obligation to renew their subscriptions for our solutions after the expiration of their initial subscription period. In order for us to maintain or improve our results of operations, it is important that our customers renew their subscriptions with us on the same or more favorable terms to us. Our ability to increase sales to existing customers depends on several factors, including their experience with implementing and using our platform, their ability to integrate our platform with other technologies, and our pricing model.</w:t>
      </w:r>
    </w:p>
    <w:p>
      <w:pPr>
        <w:spacing w:after="0" w:line="190" w:lineRule="exact"/>
        <w:rPr>
          <w:sz w:val="20"/>
          <w:szCs w:val="20"/>
          <w:color w:val="auto"/>
        </w:rPr>
      </w:pPr>
    </w:p>
    <w:p>
      <w:pPr>
        <w:ind w:right="80" w:firstLine="510"/>
        <w:spacing w:after="0" w:line="369" w:lineRule="auto"/>
        <w:rPr>
          <w:sz w:val="20"/>
          <w:szCs w:val="20"/>
          <w:color w:val="auto"/>
        </w:rPr>
      </w:pPr>
      <w:r>
        <w:rPr>
          <w:rFonts w:ascii="Arial" w:cs="Arial" w:eastAsia="Arial" w:hAnsi="Arial"/>
          <w:sz w:val="14"/>
          <w:szCs w:val="14"/>
          <w:color w:val="auto"/>
        </w:rPr>
        <w:t>Our ability to generate revenue may be inconsistent across SMB, mid-market, and large enterprise customers. If we experience limited or inconsistent growth in any of these customer sets, particularly our mid-market and large enterprise customers, our business, financial condition, and operating results could be adversely affected.</w:t>
      </w:r>
    </w:p>
    <w:p>
      <w:pPr>
        <w:spacing w:after="0" w:line="126" w:lineRule="exact"/>
        <w:rPr>
          <w:sz w:val="20"/>
          <w:szCs w:val="20"/>
          <w:color w:val="auto"/>
        </w:rPr>
      </w:pPr>
    </w:p>
    <w:p>
      <w:pPr>
        <w:ind w:right="80" w:firstLine="510"/>
        <w:spacing w:after="0" w:line="297" w:lineRule="auto"/>
        <w:rPr>
          <w:sz w:val="20"/>
          <w:szCs w:val="20"/>
          <w:color w:val="auto"/>
        </w:rPr>
      </w:pPr>
      <w:r>
        <w:rPr>
          <w:rFonts w:ascii="Arial" w:cs="Arial" w:eastAsia="Arial" w:hAnsi="Arial"/>
          <w:sz w:val="15"/>
          <w:szCs w:val="15"/>
          <w:color w:val="auto"/>
        </w:rPr>
        <w:t>If we are unable to provide enhancements, new features, or keep pace with current technological developments, our business could be adversely affected. If our new functionality and services initiatives do not continue to achieve acceptance in the market, our competitive position may be impaired, and our potential to generate new revenue or to retain existing revenue could be diminished. The adverse effect on our financial results may be particularly acute because of the significant research, development, marketing, sales, and other expenses we will have incurred in connection with the new functionality and services.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in part on our partner-centric strategy. Our business would be harmed if we fail to maintain or expand partner relationships.</w:t>
      </w:r>
    </w:p>
    <w:p>
      <w:pPr>
        <w:spacing w:after="0" w:line="127" w:lineRule="exact"/>
        <w:rPr>
          <w:sz w:val="20"/>
          <w:szCs w:val="20"/>
          <w:color w:val="auto"/>
        </w:rPr>
      </w:pPr>
    </w:p>
    <w:p>
      <w:pPr>
        <w:ind w:right="40" w:firstLine="510"/>
        <w:spacing w:after="0" w:line="287" w:lineRule="auto"/>
        <w:rPr>
          <w:sz w:val="20"/>
          <w:szCs w:val="20"/>
          <w:color w:val="auto"/>
        </w:rPr>
      </w:pPr>
      <w:r>
        <w:rPr>
          <w:rFonts w:ascii="Arial" w:cs="Arial" w:eastAsia="Arial" w:hAnsi="Arial"/>
          <w:sz w:val="15"/>
          <w:szCs w:val="15"/>
          <w:color w:val="auto"/>
        </w:rPr>
        <w:t>Strategic technology partners are essential to our open strategy. A significant percentage of our customers choose to integrate our ecommerce platform with third-party application providers using our open APIs and software development kits. The functionality and popularity of our platform depends, in part, on our ability to integrate our platform with third-party applications and platforms, including marketplaces and social media sites. We are dependent on strategic technology partner solutions for major ecommerce categories, including payments, shipping, tax, accounting, ERP, marketing, fulfillment, cross-channel commerce, and POS. We will continue to depend on various third-party relationships to sustain and grow our business. Third-party application providers’ sites may change the features of their applications and platforms or alter their governing terms. They may restrict our ability to add, customize or integrate systems, functionality and shopper experiences. Such changes could limit or terminate our ability to use these third-party applications and platforms and provide our customers a highly extensible and customizable experience. This could negatively impact our offerings and harm our business. Marketplaces or social networks that have allow limited integration into their platforms, such as Amazon, eBay, Facebook and Instagram, may discontinue our access or allow other platforms to integrate or integrate more easily. This would increase competition for ecommerce platforms across their solutions. Our business will be negatively impacted if we fail to retain these relationships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140"/>
        <w:spacing w:after="0" w:line="328" w:lineRule="auto"/>
        <w:rPr>
          <w:sz w:val="20"/>
          <w:szCs w:val="20"/>
          <w:color w:val="auto"/>
        </w:rPr>
      </w:pPr>
      <w:r>
        <w:rPr>
          <w:rFonts w:ascii="Arial" w:cs="Arial" w:eastAsia="Arial" w:hAnsi="Arial"/>
          <w:sz w:val="15"/>
          <w:szCs w:val="15"/>
          <w:color w:val="auto"/>
        </w:rPr>
        <w:t>for any reason, including due to third parties’ failure to support or secure their technology or our integrations; errors, bugs, or defects in their technology; or changes in our platform. Any such failure could harm our relationship with our customers, our reputation and brand, our revenue, our business, and our results of operations.</w:t>
      </w:r>
    </w:p>
    <w:p>
      <w:pPr>
        <w:spacing w:after="0" w:line="150" w:lineRule="exact"/>
        <w:rPr>
          <w:sz w:val="20"/>
          <w:szCs w:val="20"/>
          <w:color w:val="auto"/>
        </w:rPr>
      </w:pPr>
    </w:p>
    <w:p>
      <w:pPr>
        <w:ind w:right="40" w:firstLine="510"/>
        <w:spacing w:after="0" w:line="268" w:lineRule="auto"/>
        <w:rPr>
          <w:sz w:val="20"/>
          <w:szCs w:val="20"/>
          <w:color w:val="auto"/>
        </w:rPr>
      </w:pPr>
      <w:r>
        <w:rPr>
          <w:rFonts w:ascii="Arial" w:cs="Arial" w:eastAsia="Arial" w:hAnsi="Arial"/>
          <w:sz w:val="16"/>
          <w:szCs w:val="16"/>
          <w:color w:val="auto"/>
        </w:rPr>
        <w:t>Strategic technology partners and third parties may not be successful in building integrations, co-marketing our platform to provide a significant volume and quality of lead referrals, or continuing to work with us as their products evolve. Identifying, negotiating and documenting relationships with additional strategic technology partners requires significant resources. Integrating third-party technology can be complex, costly and time-consuming. Third parties may be unwilling to build integrations.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Any failure of our platform to operate effectively with business applications could reduce the demand for our platform, resulting in customer dissatisfaction and harm to our business. If we are unable to respond to these changes or failures in a cost-effective manner, our platform may become less marketable, less competitive, or obsolete, and our results of operations may be negatively impacted.</w:t>
      </w:r>
    </w:p>
    <w:p>
      <w:pPr>
        <w:spacing w:after="0" w:line="192"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We have strategic technology partnerships with third parties that pay us a revenue share on their gross sales to our joint customers and/or collaborate to co-sell and co-market BigCommerce to new customers. Certain of those strategic technology partners generate significant revenue for us, including PayPal, Google, and Stripe. While our contracts with strategic technology partners generally limit the ability of such partners to terminate the contract for convenience on short notice, certain of our strategic technology partners have termination for convenience clauses in their contracts with us. If our relationships with our strategic technology partners are disrupted, we may receive less revenue and incur costs to form other revenue-generating strategic technology partnerships. If our strategic technology partners were to be acquired by a competitor or were to acquire a competitor, it could compromise these relationships. This could harm our relationship with our customers, our reputation and brand, and our business and results of operations.</w:t>
      </w:r>
    </w:p>
    <w:p>
      <w:pPr>
        <w:spacing w:after="0" w:line="190" w:lineRule="exact"/>
        <w:rPr>
          <w:sz w:val="20"/>
          <w:szCs w:val="20"/>
          <w:color w:val="auto"/>
        </w:rPr>
      </w:pPr>
    </w:p>
    <w:p>
      <w:pPr>
        <w:ind w:right="140" w:firstLine="510"/>
        <w:spacing w:after="0" w:line="297" w:lineRule="auto"/>
        <w:rPr>
          <w:sz w:val="20"/>
          <w:szCs w:val="20"/>
          <w:color w:val="auto"/>
        </w:rPr>
      </w:pPr>
      <w:r>
        <w:rPr>
          <w:rFonts w:ascii="Arial" w:cs="Arial" w:eastAsia="Arial" w:hAnsi="Arial"/>
          <w:sz w:val="15"/>
          <w:szCs w:val="15"/>
          <w:color w:val="auto"/>
        </w:rPr>
        <w:t>We are unable to track revenue-sharing on a real-time basis for some strategic technology partners, which can lead to delays and inaccuracies in reporting in accounting and revenue. In the past we have had, and could have in the future, disagreements with certain of our strategic technology partners on the amount of revenue share we are owed. Our forecasts for revenue-sharing arrangements and collaborations may be inaccurate. If we fail to accurately forecast the amount of revenue generated from our strategic technology partner relationships, our business and results of operations may be negatively impacted.</w:t>
      </w:r>
    </w:p>
    <w:p>
      <w:pPr>
        <w:spacing w:after="0" w:line="172" w:lineRule="exact"/>
        <w:rPr>
          <w:sz w:val="20"/>
          <w:szCs w:val="20"/>
          <w:color w:val="auto"/>
        </w:rPr>
      </w:pPr>
    </w:p>
    <w:p>
      <w:pPr>
        <w:ind w:right="60" w:firstLine="510"/>
        <w:spacing w:after="0" w:line="305" w:lineRule="auto"/>
        <w:rPr>
          <w:sz w:val="20"/>
          <w:szCs w:val="20"/>
          <w:color w:val="auto"/>
        </w:rPr>
      </w:pPr>
      <w:r>
        <w:rPr>
          <w:rFonts w:ascii="Arial" w:cs="Arial" w:eastAsia="Arial" w:hAnsi="Arial"/>
          <w:sz w:val="15"/>
          <w:szCs w:val="15"/>
          <w:color w:val="auto"/>
        </w:rPr>
        <w:t>We leverage the sales and referral resources of agency and referral partners through a variety of programs. If we are unable to effectively utilize, maintain and expand these relationships, our revenue growth would slow, we would need to devote additional resources to the development, sales, and marketing of our platform, and our financial results and future growth prospects would be harmed. Our referral partners may demand greater referral fees or commissions.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future results of operations.</w:t>
      </w:r>
    </w:p>
    <w:p>
      <w:pPr>
        <w:spacing w:after="0" w:line="127" w:lineRule="exact"/>
        <w:rPr>
          <w:sz w:val="20"/>
          <w:szCs w:val="20"/>
          <w:color w:val="auto"/>
        </w:rPr>
      </w:pPr>
    </w:p>
    <w:p>
      <w:pPr>
        <w:ind w:right="80" w:firstLine="510"/>
        <w:spacing w:after="0" w:line="287" w:lineRule="auto"/>
        <w:rPr>
          <w:sz w:val="20"/>
          <w:szCs w:val="20"/>
          <w:color w:val="auto"/>
        </w:rPr>
      </w:pPr>
      <w:r>
        <w:rPr>
          <w:rFonts w:ascii="Arial" w:cs="Arial" w:eastAsia="Arial" w:hAnsi="Arial"/>
          <w:sz w:val="15"/>
          <w:szCs w:val="15"/>
          <w:color w:val="auto"/>
        </w:rPr>
        <w:t>We launched in 2009 and in 2015 expanded our strategic focus to include mid-market and large enterprise customers. We have a limited operating history and limited time implementing our strategic focus on the mid-market and large enterprise segments. As a result, our ability to accurately forecast our future results of operations is limited and subject to a number of uncertainties, including our ability to plan for and model future growth. The market for our ecommerce platform is relatively new and evolving, which makes our business and future prospects difficult to evaluate. It is difficult to predict customer demand for our platform, customer retention and expansion rates, the size and growth rate of the market, the entry of competitive products, or the success of existing competitive products. Our historical revenue growth should not be considered indicative of our future performance. In future periods, our revenue growth could slow or our revenue could decline for a number of reasons, including slowing demand for our services, increasing competition, changing technology, decreasing growth of our market, or our failure, for any reason, to take advantage of growth opportunities. We will continue to encounter risks and uncertainties frequently experienced by growing companies in rapidly changing industries. If our assumptions regarding these risks, uncertainties, or future revenue growth are incorrect, or if we do not address these risks successfully, our operating and financial results could differ materially from our expectations, and our business could suffer.</w:t>
      </w:r>
    </w:p>
    <w:p>
      <w:pPr>
        <w:spacing w:after="0" w:line="286" w:lineRule="exact"/>
        <w:rPr>
          <w:sz w:val="20"/>
          <w:szCs w:val="20"/>
          <w:color w:val="auto"/>
        </w:rPr>
      </w:pPr>
    </w:p>
    <w:p>
      <w:pPr>
        <w:ind w:right="560"/>
        <w:spacing w:after="0" w:line="369" w:lineRule="auto"/>
        <w:rPr>
          <w:sz w:val="20"/>
          <w:szCs w:val="20"/>
          <w:color w:val="auto"/>
        </w:rPr>
      </w:pPr>
      <w:r>
        <w:rPr>
          <w:rFonts w:ascii="Arial" w:cs="Arial" w:eastAsia="Arial" w:hAnsi="Arial"/>
          <w:sz w:val="14"/>
          <w:szCs w:val="14"/>
          <w:b w:val="1"/>
          <w:bCs w:val="1"/>
          <w:i w:val="1"/>
          <w:iCs w:val="1"/>
          <w:color w:val="auto"/>
        </w:rPr>
        <w:t>Failure to effectively develop and expand our marketing and sales capabilities could harm our ability to increase our customer base and achieve broader market acceptance of our platform. If we are not able to generate traffic to our website through digital marketing our ability to attract new customers may be impaired.</w:t>
      </w:r>
    </w:p>
    <w:p>
      <w:pPr>
        <w:spacing w:after="0" w:line="18"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Our ability to increase our customer base and achieve broader market acceptance of our ecommerce platform will depend on our ability to expand our marketing and sales operations. We plan to continue expanding our sales force and strategic partners, both domestically and internationally. We also plan to dedicate significant resources to sales and marketing programs, including search engine and other online advertising. The effectiveness of our online advertising may continue to vary due to competition for key search terms, changes in search engine use, and changes in search algorithms used by major search engines and other digital marketing platforms. Our business and operating results will be harmed if our sales and marketing efforts do not generate a corresponding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80" w:lineRule="exact"/>
        <w:rPr>
          <w:sz w:val="20"/>
          <w:szCs w:val="20"/>
          <w:color w:val="auto"/>
        </w:rPr>
      </w:pPr>
    </w:p>
    <w:p>
      <w:pPr>
        <w:ind w:right="260" w:firstLine="510"/>
        <w:spacing w:after="0" w:line="278" w:lineRule="auto"/>
        <w:rPr>
          <w:sz w:val="20"/>
          <w:szCs w:val="20"/>
          <w:color w:val="auto"/>
        </w:rPr>
      </w:pPr>
      <w:r>
        <w:rPr>
          <w:rFonts w:ascii="Arial" w:cs="Arial" w:eastAsia="Arial" w:hAnsi="Arial"/>
          <w:sz w:val="16"/>
          <w:szCs w:val="16"/>
          <w:color w:val="auto"/>
        </w:rPr>
        <w:t>If the cost of marketing our platform over search engines or other digital marketing platforms increases, our business and operating results could be adversely affected. Competitors also may bid on the search terms that we use to drive traffic to our website. Such actions could increase our marketing costs and result in decreased traffic to our website.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0" w:firstLine="510"/>
        <w:spacing w:after="0" w:line="271" w:lineRule="auto"/>
        <w:rPr>
          <w:sz w:val="20"/>
          <w:szCs w:val="20"/>
          <w:color w:val="auto"/>
        </w:rPr>
      </w:pPr>
      <w:r>
        <w:rPr>
          <w:rFonts w:ascii="Arial" w:cs="Arial" w:eastAsia="Arial" w:hAnsi="Arial"/>
          <w:sz w:val="16"/>
          <w:szCs w:val="16"/>
          <w:color w:val="auto"/>
        </w:rPr>
        <w:t>Furthermore, search engines and digital marketing platforms may change their advertising policies from time to time. If these policies delay or prevent us from advertising through these channels, it could result in reduced traffic to our website and subscriptions to our platform. New search engines and other digital marketing platforms may develop, particularly in specific jurisdictions, that reduce traffic on existing search engines and digital marketing platforms. If we are not able to achieve prominence through advertising or otherwise, we may not achieve significant traffic to our website through these new platforms and our business and operating results could be adversely affected.</w:t>
      </w:r>
    </w:p>
    <w:p>
      <w:pPr>
        <w:spacing w:after="0" w:line="29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To the extent our security measures are actually or believed to have been compromised, our platform may be perceived as not being secure. This may result in customers curtailing or ceasing their use of our platform, our reputation being harmed, our incurring significant liabilities, and adverse effects on our results of operations and growth prospects.</w:t>
      </w:r>
    </w:p>
    <w:p>
      <w:pPr>
        <w:spacing w:after="0" w:line="76" w:lineRule="exact"/>
        <w:rPr>
          <w:sz w:val="20"/>
          <w:szCs w:val="20"/>
          <w:color w:val="auto"/>
        </w:rPr>
      </w:pPr>
    </w:p>
    <w:p>
      <w:pPr>
        <w:ind w:right="40" w:firstLine="510"/>
        <w:spacing w:after="0" w:line="308" w:lineRule="auto"/>
        <w:rPr>
          <w:sz w:val="20"/>
          <w:szCs w:val="20"/>
          <w:color w:val="auto"/>
        </w:rPr>
      </w:pPr>
      <w:r>
        <w:rPr>
          <w:rFonts w:ascii="Arial" w:cs="Arial" w:eastAsia="Arial" w:hAnsi="Arial"/>
          <w:sz w:val="14"/>
          <w:szCs w:val="14"/>
          <w:color w:val="auto"/>
        </w:rPr>
        <w:t>Our operations involve the storage and transmission of customer and shopper data or information. Cyberattacks and other malicious internet-based activity continue to increase, and cloud-based platform providers of services are expected to continue to be targeted. Threats include traditional computer “hackers,” malicious code (such as viruses, worms, and ransomware), employee theft or misuse, action or inaction by our employees or contractors, and denial-of-service attacks. Sophisticated nation-states and nation-state supported actors now engage in such attacks, including advanced persistent threat intrusions. Despite significant efforts to create security barriers to such threats, it is virtually impossible for us to entirely mitigate these risks. If our security measures are actually or perceived to be compromised as a result of third-party action, employee or customer error, malfeasance, stolen or fraudulently obtained log-in credentials, or otherwise, our reputation could be damaged, our business may be harmed, and we could incur significant liability. We may be unable to anticipate or prevent techniques used to obtain unauthorized access or to compromise our systems because they change frequently and are generally not detected until after an incident has occurred. As we rely on third-party and public-cloud infrastructure, we will depend in part on third-party security measures to protect against unauthorized access, cyberattacks, and the mishandling of customer data. A cybersecurity event could have significant costs, including regulatory enforcement actions, litigation, litigation indemnity obligations, remediation costs, network downtime, increases in insurance premiums, and reputational damage. Our cyber insurance may not protect against all of the costs, liabilities, and other adverse effects arising from a security breach or system failure. Many companies that provide cloud-based services have reported a significant increase in cyberattack activity since the beginning of the COVID-19 pandemic.</w:t>
      </w:r>
    </w:p>
    <w:p>
      <w:pPr>
        <w:spacing w:after="0" w:line="275"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b w:val="1"/>
          <w:bCs w:val="1"/>
          <w:i w:val="1"/>
          <w:iCs w:val="1"/>
          <w:color w:val="auto"/>
        </w:rPr>
        <w:t>We depend on third-party data hosting and transmission services. Increases in cost, interruptions in service, latency, or poor service from our third-party data center providers could impair the delivery of our platform. This could result in customer or shopper dissatisfaction, damage to our reputation, loss of customers, limited growth, and reduction in revenue.</w:t>
      </w:r>
    </w:p>
    <w:p>
      <w:pPr>
        <w:spacing w:after="0" w:line="76"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We currently serve the majority of our platform functions from third-party data center hosting facilities operated by Google Cloud Platform, located in Iowa. We serve ancillary functions for our customers from third-party data center hosting facilities operated by Amazon Web Services, located in Virginia. Our platform is deployed to multiple data centers within these geographies, with additional geographies available for disaster recovery. Our operations depend, in part, on our third-party providers’ protection of these facilities from natural disasters, power or telecommunications failures, criminal acts, or similar events (such as the COVID-19 pandemic). If any third-party facility’s arrangement is terminated, or its service lapses, we could experience interruptions in our platform, latency, as well as delays and additional expenses in arranging new facilities and services.</w:t>
      </w:r>
    </w:p>
    <w:p>
      <w:pPr>
        <w:spacing w:after="0" w:line="194"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90" w:lineRule="exact"/>
        <w:rPr>
          <w:sz w:val="20"/>
          <w:szCs w:val="20"/>
          <w:color w:val="auto"/>
        </w:rPr>
      </w:pPr>
    </w:p>
    <w:p>
      <w:pPr>
        <w:ind w:right="40" w:firstLine="510"/>
        <w:spacing w:after="0" w:line="268" w:lineRule="auto"/>
        <w:rPr>
          <w:sz w:val="20"/>
          <w:szCs w:val="20"/>
          <w:color w:val="auto"/>
        </w:rPr>
      </w:pPr>
      <w:r>
        <w:rPr>
          <w:rFonts w:ascii="Arial" w:cs="Arial" w:eastAsia="Arial" w:hAnsi="Arial"/>
          <w:sz w:val="16"/>
          <w:szCs w:val="16"/>
          <w:color w:val="auto"/>
        </w:rPr>
        <w:t>Our customers often draw many shoppers over short periods of time, including from new product releases, holiday shopping seasons and flash sales. These events significantly increase the traffic on our servers and the volume of transactions processed on our platform. Despite precautions taken at our data centers, spikes in usage volume, or a natural disaster, an act of terrorism, vandalism or sabotage, closure of a facility without adequate notice, or other unanticipated problems (such as the COVID-19 pandemic)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cause us to issue credits, or cause customers to terminate their subscriptions, any of which could materially adversely affect our business.</w:t>
      </w:r>
    </w:p>
    <w:p>
      <w:pPr>
        <w:spacing w:after="0" w:line="30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If there are interruptions or performance problems associated with our technology or infrastructure, our existing customers may experience service outages, and our new customers may experience delays in using our platform.</w:t>
      </w:r>
    </w:p>
    <w:p>
      <w:pPr>
        <w:spacing w:after="0" w:line="64" w:lineRule="exact"/>
        <w:rPr>
          <w:sz w:val="20"/>
          <w:szCs w:val="20"/>
          <w:color w:val="auto"/>
        </w:rPr>
      </w:pPr>
    </w:p>
    <w:p>
      <w:pPr>
        <w:ind w:right="80" w:firstLine="510"/>
        <w:spacing w:after="0" w:line="313" w:lineRule="auto"/>
        <w:rPr>
          <w:sz w:val="20"/>
          <w:szCs w:val="20"/>
          <w:color w:val="auto"/>
        </w:rPr>
      </w:pPr>
      <w:r>
        <w:rPr>
          <w:rFonts w:ascii="Arial" w:cs="Arial" w:eastAsia="Arial" w:hAnsi="Arial"/>
          <w:sz w:val="14"/>
          <w:szCs w:val="14"/>
          <w:color w:val="auto"/>
        </w:rPr>
        <w:t>Our continued growth depends, in part, on the ability of our existing and potential customers to access our platform 24 hours a day, seven days a week, without interruption or performance degradation. We have experienced and may, in the future, experience disruptions, data loss, outages, and other performance problems with our infrastructure. These can be due to a variety of factors, including infrastructure changes, introductions of new functionality, human or software errors, capacity constraints, denial-of-service attacks, or other security-related incidents, any of which may be recurring. As we continue to add customers, expand geographically, and enhance our platform’s functionality, the additional scale may increase complexity and our average uptime for future periods may decrease. We may not be able to identify the cause or causes of these performance problems promptly. If our platform is unavailable or if our customers are unable to access our platform within a reasonable amount of time, our business would be harmed. Any outage on our platform would impair the ability of our customers to engage in ecommerce, which would negatively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impact our brand, reputation and customer satisfaction. We provide service credits to our customers for downtime they experience using our platform. Any downtime or malfunction could require us to issue a significant amount of service credits to customers. At times, we issue service credits to customers that we are not able to identify as having been affected by an incident. Issuing a significant amount of service credits would negatively impact our financial position. We depend on services from various third parties to maintain our infrastructure and any disruptions to these services, including from causes outside our control, would significantly impact our platform. In the future, these services may not be available to us on commercially reasonable terms, or at all. Loss of any of these services could decrease our platform’s functionality until we develop equivalent technology or, if equivalent technology is available from another party, we identify, obtain, and integrate it into our infrastructure. If we do not accurately predict our infrastructure capacity requirements, our customers could experience service shortfalls. We may also be unable to address capacity constraints, upgrade our systems, and develop our technology and network architecture to accommodate actual and anticipated technology changes.</w:t>
      </w:r>
    </w:p>
    <w:p>
      <w:pPr>
        <w:spacing w:after="0" w:line="180" w:lineRule="exact"/>
        <w:rPr>
          <w:sz w:val="20"/>
          <w:szCs w:val="20"/>
          <w:color w:val="auto"/>
        </w:rPr>
      </w:pPr>
    </w:p>
    <w:p>
      <w:pPr>
        <w:ind w:right="120" w:firstLine="510"/>
        <w:spacing w:after="0" w:line="369" w:lineRule="auto"/>
        <w:rPr>
          <w:sz w:val="20"/>
          <w:szCs w:val="20"/>
          <w:color w:val="auto"/>
        </w:rPr>
      </w:pPr>
      <w:r>
        <w:rPr>
          <w:rFonts w:ascii="Arial" w:cs="Arial" w:eastAsia="Arial" w:hAnsi="Arial"/>
          <w:sz w:val="14"/>
          <w:szCs w:val="14"/>
          <w:color w:val="auto"/>
        </w:rPr>
        <w:t>Any of the above circumstances or events may harm our reputation, cause customers to terminate their agreements with us, impair our ability to grow our customer base, subject us to financial liabilities under our service level agreements (“SLAs”), and otherwise harm our business,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sales cycle with mid-market and large enterprise customers can be long and unpredictable, and our sales efforts require considerable time and expense.</w:t>
      </w:r>
    </w:p>
    <w:p>
      <w:pPr>
        <w:spacing w:after="0" w:line="138" w:lineRule="exact"/>
        <w:rPr>
          <w:sz w:val="20"/>
          <w:szCs w:val="20"/>
          <w:color w:val="auto"/>
        </w:rPr>
      </w:pPr>
    </w:p>
    <w:p>
      <w:pPr>
        <w:ind w:right="180" w:firstLine="510"/>
        <w:spacing w:after="0" w:line="288" w:lineRule="auto"/>
        <w:rPr>
          <w:sz w:val="20"/>
          <w:szCs w:val="20"/>
          <w:color w:val="auto"/>
        </w:rPr>
      </w:pPr>
      <w:r>
        <w:rPr>
          <w:rFonts w:ascii="Arial" w:cs="Arial" w:eastAsia="Arial" w:hAnsi="Arial"/>
          <w:sz w:val="15"/>
          <w:szCs w:val="15"/>
          <w:color w:val="auto"/>
        </w:rPr>
        <w:t>The timing of our sales with our mid-market and large enterprise customers and related revenue recognition is difficult to predict because of the length and unpredictability of the sales cycle for these customers. Mid-market and large enterprise customers, particularly those in highly regulated industries and those requiring customized applications, may have a lengthy sales cycle for the evaluation and implementation of our platform. This may cause a delay between increasing operating expenses for such sales efforts and, upon successful sales, the generation of corresponding revenue. We are often required to spend significant time and resources to better educate our potential mid-market and large enterprise customers and familiarize them with the platform. The length of our sales cycle for these customers, from initial evaluation to contract execution, is generally three to six months but can vary substantially. On occasion, some customers will negotiate their contracts to include a trial period, delayed payment or a number of months on a promotional basis. If customers maintain work-from-home arrangements for a significant period of time, or if other factors lengthen these sales cycles, it could negatively affect our revenue in future periods.</w:t>
      </w:r>
    </w:p>
    <w:p>
      <w:pPr>
        <w:spacing w:after="0" w:line="180"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As the purchase and launch of our platform can be dependent upon customer initiatives, infrequently, our sales cycle can extend to up to twelve months. As a result, much of our revenue is generated from the recognition of contract liabilities from contracts entered into during previous periods. Customers often view a subscription to our ecommerce platform and services as a strategic decision with significant investment. As a result, customers frequently require considerable time to evaluate, test, and qualify our platform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68"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effectiveness of our sales force as we hire and train our new salespeople to sell to mid-market and large enterprise customers;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discretionary nature of purchasing and budget cycles and decisions;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obstacles placed by customers’ procurement process;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economic conditions and other factors impacting customer budgets;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customers’ integration complexity;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customers’ familiarity with SaaS ecommerce solutions;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customers’ evaluation of competing products during the purchasing process;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evolving customer demands.</w:t>
      </w:r>
    </w:p>
    <w:p>
      <w:pPr>
        <w:spacing w:after="0" w:line="248"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Given these factors, it is difficult to predict whether and when a sale will be completed, and when revenue from a sale will be recognized. Consequently, a shortfall in demand for our solutions and services or a decline in new or renewed contracts in a given period may not significantly reduce our revenue for that period but could negatively affect our revenue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or grow our brand recognition, our ability to expand our customer base will be impaired and our financial condition may suffer.</w:t>
      </w:r>
    </w:p>
    <w:p>
      <w:pPr>
        <w:spacing w:after="0" w:line="138" w:lineRule="exact"/>
        <w:rPr>
          <w:sz w:val="20"/>
          <w:szCs w:val="20"/>
          <w:color w:val="auto"/>
        </w:rPr>
      </w:pPr>
    </w:p>
    <w:p>
      <w:pPr>
        <w:ind w:right="140" w:firstLine="510"/>
        <w:spacing w:after="0" w:line="288" w:lineRule="auto"/>
        <w:rPr>
          <w:sz w:val="20"/>
          <w:szCs w:val="20"/>
          <w:color w:val="auto"/>
        </w:rPr>
      </w:pPr>
      <w:r>
        <w:rPr>
          <w:rFonts w:ascii="Arial" w:cs="Arial" w:eastAsia="Arial" w:hAnsi="Arial"/>
          <w:sz w:val="15"/>
          <w:szCs w:val="15"/>
          <w:color w:val="auto"/>
        </w:rPr>
        <w:t>We believe maintaining and growing the BigCommerce brand is important to supporting continued acceptance of our existing and future solutions, attracting new customers to our platform,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to meet the needs of our customers at competitive prices, our ability to maintain our customers’ trust, our ability to continue to develop new functionality and solutions, and our ability to successfully differentiate our platform. Additionally, our partners’ performance may affect our brand and reputation if customers do not have a positive experience.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 quality support, our business and reputation could suffer.</w:t>
      </w:r>
    </w:p>
    <w:p>
      <w:pPr>
        <w:spacing w:after="0" w:line="127"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mid-market and large enterprise customers. If we do not help our customers quickly resolve issues and provide effective ongoing support, our ability to sell new software to existing and new customers could suffer and our reputation with existing or potential customers could be harmed.</w:t>
      </w:r>
    </w:p>
    <w:p>
      <w:pPr>
        <w:spacing w:after="0" w:line="29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We store personal information of our customers and their shoppers. If the security of this information is compromised or is otherwise accessed without authorization, our reputation may be harmed and we may be exposed to liability and loss of business.</w:t>
      </w:r>
    </w:p>
    <w:p>
      <w:pPr>
        <w:spacing w:after="0" w:line="64" w:lineRule="exact"/>
        <w:rPr>
          <w:sz w:val="20"/>
          <w:szCs w:val="20"/>
          <w:color w:val="auto"/>
        </w:rPr>
      </w:pPr>
    </w:p>
    <w:p>
      <w:pPr>
        <w:ind w:right="60" w:firstLine="510"/>
        <w:spacing w:after="0" w:line="297" w:lineRule="auto"/>
        <w:rPr>
          <w:sz w:val="20"/>
          <w:szCs w:val="20"/>
          <w:color w:val="auto"/>
        </w:rPr>
      </w:pPr>
      <w:r>
        <w:rPr>
          <w:rFonts w:ascii="Arial" w:cs="Arial" w:eastAsia="Arial" w:hAnsi="Arial"/>
          <w:sz w:val="15"/>
          <w:szCs w:val="15"/>
          <w:color w:val="auto"/>
        </w:rPr>
        <w:t>We transmit or store personal information, credit card information and other confidential information of our partners, our customers, and their shoppers. Third-party applications available on our platform and mobile applications may also store personal information, credit card information, and other confidential information. We generally cannot and do not proactively monitor the content that our customers upload or the information provided to us through the applications integrated with our ecommerce platform; therefore, we do not control the substance of the content on our servers, which may include personal information.</w:t>
      </w:r>
    </w:p>
    <w:p>
      <w:pPr>
        <w:spacing w:after="0" w:line="172"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We use third-party service providers and subprocessors to help us deliver services to customers and their shoppers. These service providers and subprocessors may store personal information, credit card information and/or other confidential information. Such information may be the target of unauthorized access or subject to security breaches as a result of third-party action, employee error, malfeasance or otherwise. Many companies that provide these services have reported a significant increase in cyberattack activity since the beginning of the COVID-19 pandemic. Any of these could (a) result in the loss of information, litigation, indemnity obligations, damage to our reputation and other liability, or (b) have a material adverse effect on our business, financial condition, and results of operations.</w:t>
      </w:r>
    </w:p>
    <w:p>
      <w:pPr>
        <w:spacing w:after="0" w:line="176"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Because the techniques used to obtain unauthorized access or sabotage systems change frequently and generally are not identified until they are launched against a target, we may be unable to anticipate these techniques or to implement adequate preventative measures. Even if such a data breach did not arise out of our action or inaction, or if it were to affect one or more of our competitors or our customers’ competitors, rather than us, the resulting concern could negatively affect our customers and our business. Concerns regarding data privacy and security may cause some of our customers to stop using our platform and fail to renew their subscriptions. In addition, failures to meet our customers’ or shoppers’ expectations with respect to security and confidentiality of their data and information could damage our reputation and affect our ability to retain customers, attract new customers, and grow our business.</w:t>
      </w:r>
    </w:p>
    <w:p>
      <w:pPr>
        <w:spacing w:after="0" w:line="194"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Our failure to comply with legal, contractual, or standards-based requirements around the security of personal information could lead to significant fines and penalties, as well as claims by our customers, their shoppers, or other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w:t>
      </w:r>
    </w:p>
    <w:p>
      <w:pPr>
        <w:spacing w:after="0" w:line="189"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If our security measures fail to protect credit card information adequately, we could be liable to our partners, the payment card associations, our customers, their shoppers and consumers with whom we have a direct relationship. We could be subject to fines and higher transaction fees, we could face regulatory or other legal action, and our customers could end their relationships with us. The limitations of liability in our contracts may not be enforceable or adequate or would otherwise protect us from any such liabilities or damages with respect to any particular claim.</w:t>
      </w:r>
    </w:p>
    <w:p>
      <w:pPr>
        <w:spacing w:after="0" w:line="189"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190" w:lineRule="exact"/>
        <w:rPr>
          <w:sz w:val="20"/>
          <w:szCs w:val="20"/>
          <w:color w:val="auto"/>
        </w:rPr>
      </w:pPr>
    </w:p>
    <w:p>
      <w:pPr>
        <w:ind w:right="100" w:firstLine="510"/>
        <w:spacing w:after="0" w:line="297" w:lineRule="auto"/>
        <w:rPr>
          <w:sz w:val="20"/>
          <w:szCs w:val="20"/>
          <w:color w:val="auto"/>
        </w:rPr>
      </w:pPr>
      <w:r>
        <w:rPr>
          <w:rFonts w:ascii="Arial" w:cs="Arial" w:eastAsia="Arial" w:hAnsi="Arial"/>
          <w:sz w:val="15"/>
          <w:szCs w:val="15"/>
          <w:color w:val="auto"/>
        </w:rPr>
        <w:t>We are also subject to federal, state, and foreign laws regarding cybersecurity and the protection of data. Many jurisdictions have enacted laws requiring companies to notify individuals of security breaches involving certain types of personal information. Our agreements with certain customers and partners require us to notify them of certain security incidents. Some jurisdictions and customers require us to safeguard personal information or confidential information using specific measures. If we fail to observe these requirements, our business, operating results, and financial condition could be adversely affected.</w:t>
      </w:r>
    </w:p>
    <w:p>
      <w:pPr>
        <w:spacing w:after="0" w:line="28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We could incur substantial costs in protecting or defending our proprietary rights. Failure to adequately protect our rights could impair our competitive position. We could lose valuable assets, experience reduced revenue, and incur costly litigation.</w:t>
      </w:r>
    </w:p>
    <w:p>
      <w:pPr>
        <w:spacing w:after="0" w:line="64" w:lineRule="exact"/>
        <w:rPr>
          <w:sz w:val="20"/>
          <w:szCs w:val="20"/>
          <w:color w:val="auto"/>
        </w:rPr>
      </w:pPr>
    </w:p>
    <w:p>
      <w:pPr>
        <w:ind w:right="240" w:firstLine="510"/>
        <w:spacing w:after="0" w:line="273"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90"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To the extent we expand our international activities, our exposure to unauthorized copying and use of our platform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9"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We enter into confidentiality agreements with strategic and business partners. These agreements may not be effective in controlling access to and distribution of our proprietary information. These agreements do not prevent our competitors or partners from independently developing technologies that are equivalent or superior to our platform.</w:t>
      </w:r>
    </w:p>
    <w:p>
      <w:pPr>
        <w:spacing w:after="0" w:line="184" w:lineRule="exact"/>
        <w:rPr>
          <w:sz w:val="20"/>
          <w:szCs w:val="20"/>
          <w:color w:val="auto"/>
        </w:rPr>
      </w:pPr>
    </w:p>
    <w:p>
      <w:pPr>
        <w:ind w:right="100" w:firstLine="510"/>
        <w:spacing w:after="0" w:line="311" w:lineRule="auto"/>
        <w:rPr>
          <w:sz w:val="20"/>
          <w:szCs w:val="20"/>
          <w:color w:val="auto"/>
        </w:rPr>
      </w:pPr>
      <w:r>
        <w:rPr>
          <w:rFonts w:ascii="Arial" w:cs="Arial" w:eastAsia="Arial" w:hAnsi="Arial"/>
          <w:sz w:val="14"/>
          <w:szCs w:val="14"/>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Series 1 common stock.</w:t>
      </w:r>
    </w:p>
    <w:p>
      <w:pPr>
        <w:spacing w:after="0" w:line="167"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functionality to our platform, result in the substitution of inferior or more costly technologies into our platform,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88"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b w:val="1"/>
          <w:bCs w:val="1"/>
          <w:i w:val="1"/>
          <w:iCs w:val="1"/>
          <w:color w:val="auto"/>
        </w:rPr>
        <w:t>We have been, and may in the future be, subject to legal proceedings and litigation, including intellectual property disputes, which are costly and may subject us to significant liability and increased costs of doing business. Our business may suffer if it is alleged or determined that our technology infringes the intellectual property rights of others.</w:t>
      </w:r>
    </w:p>
    <w:p>
      <w:pPr>
        <w:spacing w:after="0" w:line="76" w:lineRule="exact"/>
        <w:rPr>
          <w:sz w:val="20"/>
          <w:szCs w:val="20"/>
          <w:color w:val="auto"/>
        </w:rPr>
      </w:pPr>
    </w:p>
    <w:p>
      <w:pPr>
        <w:ind w:right="20" w:firstLine="510"/>
        <w:spacing w:after="0" w:line="297" w:lineRule="auto"/>
        <w:rPr>
          <w:sz w:val="20"/>
          <w:szCs w:val="20"/>
          <w:color w:val="auto"/>
        </w:rPr>
      </w:pPr>
      <w:r>
        <w:rPr>
          <w:rFonts w:ascii="Arial" w:cs="Arial" w:eastAsia="Arial" w:hAnsi="Arial"/>
          <w:sz w:val="15"/>
          <w:szCs w:val="15"/>
          <w:color w:val="auto"/>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Our technologies may not be able to withstand any third-party claims or rights against their use. These lawsuits are time-consuming and expensive to resolve and they divert management’s time and attention. Our future success depends in part on not infringing the intellectual property rights of others.</w:t>
      </w:r>
    </w:p>
    <w:p>
      <w:pPr>
        <w:spacing w:after="0" w:line="172" w:lineRule="exact"/>
        <w:rPr>
          <w:sz w:val="20"/>
          <w:szCs w:val="20"/>
          <w:color w:val="auto"/>
        </w:rPr>
      </w:pPr>
    </w:p>
    <w:p>
      <w:pPr>
        <w:ind w:right="20" w:firstLine="510"/>
        <w:spacing w:after="0" w:line="288" w:lineRule="auto"/>
        <w:rPr>
          <w:sz w:val="20"/>
          <w:szCs w:val="20"/>
          <w:color w:val="auto"/>
        </w:rPr>
      </w:pPr>
      <w:r>
        <w:rPr>
          <w:rFonts w:ascii="Arial" w:cs="Arial" w:eastAsia="Arial" w:hAnsi="Arial"/>
          <w:sz w:val="15"/>
          <w:szCs w:val="15"/>
          <w:color w:val="auto"/>
        </w:rPr>
        <w:t>Many software companies have the capability to dedicate substantially greater resources to enforce their intellectual property rights and to defend claims that may be brought against them. Any litigation may also involve patent holding companies or other adverse patent owners that have no relevant product revenue and against which our patents may therefore provide little or no deterrence. We have and may in the future need to enter into settlement agreements that require us to pay settlement fees and that encumber a portion of our intellectual property. Any claims or litigation could cause us to incur significant expenses and, whether or not successfully asserted against us, could require that we pay substantial damages, ongoing royalty or license payments, require us to re-engineer all or a portion of our platform, or require that we comply with other unfavorable terms. If a third party is able to obtain an injunction preventing us from accessing third-party intellectual property rights, or if we cannot license or develop technology for any infringing aspect of our business, we would be forced to limit or stop sales of our software or cease business activities covered by such intellectual property. It could prevent us from competing effectively.</w:t>
      </w:r>
    </w:p>
    <w:p>
      <w:pPr>
        <w:spacing w:after="0" w:line="180"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We are contractually obligated to indemnify certain of our customers for infringement of a third party’s intellectual property rights. From time to time, we have received indemnification requests with respect to alleged infringement of third party intellectual property rights. Responding to such claims regardless of their merit, can be time-consuming, costly to defend in litigation, and damage our reputation and brand. We also may be required to redesign our platform, delay releases, enter into costly settlement or license agreements, pay costly damage awards, or face a temporary or permanent injunction prohibiting us from marketing or selling our platform. Requiring us to change one or more aspects of the way we deliver our platform may harm our business.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Although we carry general liability insurance and other insurance, our insurance may not cover potential claims of this type. Our insurance may not be adequate to cover us for all liability that may be imposed. We may not be able to maintain our insurance coverage. We cannot predict the outcome of lawsuits, and cannot assure you that the results of any of these actions will not have an adverse effect on our business, operating results or financial condition.</w:t>
      </w:r>
    </w:p>
    <w:p>
      <w:pPr>
        <w:spacing w:after="0" w:line="292" w:lineRule="exact"/>
        <w:rPr>
          <w:sz w:val="20"/>
          <w:szCs w:val="20"/>
          <w:color w:val="auto"/>
        </w:rPr>
      </w:pPr>
    </w:p>
    <w:p>
      <w:pPr>
        <w:ind w:right="60"/>
        <w:spacing w:after="0" w:line="328" w:lineRule="auto"/>
        <w:rPr>
          <w:sz w:val="20"/>
          <w:szCs w:val="20"/>
          <w:color w:val="auto"/>
        </w:rPr>
      </w:pPr>
      <w:r>
        <w:rPr>
          <w:rFonts w:ascii="Arial" w:cs="Arial" w:eastAsia="Arial" w:hAnsi="Arial"/>
          <w:sz w:val="15"/>
          <w:szCs w:val="15"/>
          <w:b w:val="1"/>
          <w:bCs w:val="1"/>
          <w:i w:val="1"/>
          <w:iCs w:val="1"/>
          <w:color w:val="auto"/>
        </w:rPr>
        <w:t>We rely on third-party proprietary and open source software for our platform. Our inability to obtain third-party licenses for such software, or obtain them on favorable terms, or any errors or failures caused by such software could adversely affect our business, results of operations and financial condition.</w:t>
      </w:r>
    </w:p>
    <w:p>
      <w:pPr>
        <w:spacing w:after="0" w:line="42" w:lineRule="exact"/>
        <w:rPr>
          <w:sz w:val="20"/>
          <w:szCs w:val="20"/>
          <w:color w:val="auto"/>
        </w:rPr>
      </w:pPr>
    </w:p>
    <w:p>
      <w:pPr>
        <w:ind w:right="80" w:firstLine="510"/>
        <w:spacing w:after="0" w:line="287" w:lineRule="auto"/>
        <w:rPr>
          <w:sz w:val="20"/>
          <w:szCs w:val="20"/>
          <w:color w:val="auto"/>
        </w:rPr>
      </w:pPr>
      <w:r>
        <w:rPr>
          <w:rFonts w:ascii="Arial" w:cs="Arial" w:eastAsia="Arial" w:hAnsi="Arial"/>
          <w:sz w:val="15"/>
          <w:szCs w:val="15"/>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It may have a material adverse effect on our business, results of operations and financial condition.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depends upon the successful operation of third-party software, any undetected errors or defects in such third-party software could impair the functionality of our platform, delay new feature introductions, result in a failure of our platform, and injure our reputation.</w:t>
      </w:r>
    </w:p>
    <w:p>
      <w:pPr>
        <w:spacing w:after="0" w:line="290"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b w:val="1"/>
          <w:bCs w:val="1"/>
          <w:i w:val="1"/>
          <w:iCs w:val="1"/>
          <w:color w:val="auto"/>
        </w:rPr>
        <w:t>Our use of open source software could subject us to possible litigation or cause us to subject our platform to unwanted open source license conditions that could negatively impact our sales.</w:t>
      </w:r>
    </w:p>
    <w:p>
      <w:pPr>
        <w:spacing w:after="0" w:line="6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6"/>
          <w:szCs w:val="16"/>
          <w:color w:val="auto"/>
        </w:rPr>
        <w:t>A significant portion of our platform incorporates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under some open source licenses, we could be in breach of the license if we did not release the source code of our proprietary software. Releasing our source code could substantially help our competitors develop products that are similar to or better than ours.</w:t>
      </w:r>
    </w:p>
    <w:p>
      <w:pPr>
        <w:spacing w:after="0" w:line="2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our platform fails to perform properly, and if we fail to develop enhancements to resolve performance issues, we could lose customers, become subject to performance or warranty claims, or incur significant costs.</w:t>
      </w:r>
    </w:p>
    <w:p>
      <w:pPr>
        <w:spacing w:after="0" w:line="64" w:lineRule="exact"/>
        <w:rPr>
          <w:sz w:val="20"/>
          <w:szCs w:val="20"/>
          <w:color w:val="auto"/>
        </w:rPr>
      </w:pPr>
    </w:p>
    <w:p>
      <w:pPr>
        <w:ind w:right="120" w:firstLine="510"/>
        <w:spacing w:after="0" w:line="293" w:lineRule="auto"/>
        <w:rPr>
          <w:sz w:val="20"/>
          <w:szCs w:val="20"/>
          <w:color w:val="auto"/>
        </w:rPr>
      </w:pPr>
      <w:r>
        <w:rPr>
          <w:rFonts w:ascii="Arial" w:cs="Arial" w:eastAsia="Arial" w:hAnsi="Arial"/>
          <w:sz w:val="15"/>
          <w:szCs w:val="15"/>
          <w:color w:val="auto"/>
        </w:rPr>
        <w:t>Our operations are dependent upon our ability to prevent system interruption. The applications underlying our platform are inherently complex and may contain material defects or errors, which may cause disruptions in availability or other performance problems. Defects, errors, disruptions in service, cyber-attacks, or other performance problems with our software, whether in connection with the day-to-day operation, upgrades or otherwise, could result in: loss of customers; lost or delayed market acceptance and sales of our platform; delays in payment to us by customers; injury to our reputation and brand; legal claims, including warranty and service claims, against us; diversion of our resources, including through increased service and warranty expenses or financial concessions; and increased insurance costs.</w:t>
      </w:r>
    </w:p>
    <w:p>
      <w:pPr>
        <w:spacing w:after="0" w:line="176" w:lineRule="exact"/>
        <w:rPr>
          <w:sz w:val="20"/>
          <w:szCs w:val="20"/>
          <w:color w:val="auto"/>
        </w:rPr>
      </w:pPr>
    </w:p>
    <w:p>
      <w:pPr>
        <w:ind w:right="20" w:firstLine="510"/>
        <w:spacing w:after="0" w:line="315" w:lineRule="auto"/>
        <w:rPr>
          <w:sz w:val="20"/>
          <w:szCs w:val="20"/>
          <w:color w:val="auto"/>
        </w:rPr>
      </w:pPr>
      <w:r>
        <w:rPr>
          <w:rFonts w:ascii="Arial" w:cs="Arial" w:eastAsia="Arial" w:hAnsi="Arial"/>
          <w:sz w:val="14"/>
          <w:szCs w:val="14"/>
          <w:color w:val="auto"/>
        </w:rPr>
        <w:t>We have found defects in our platform and may discover additional defects in the future that could result in data unavailability, unauthorized access to, loss, corruption, or other harm to our customers’ data. We may not be able to detect and correct defects or errors before release. Consequently, we or our customers may discover defects or errors after our platform has been employed. We implement bug fixes and upgrades as part of our regularly scheduled system maintenance. If we do not complete this maintenance according to schedule or if customers are otherwise dissatisfied with the frequency and/or duration of our maintenance services and related system outages, customers could terminate their contracts, or delay or withhold payment to us, or cause us to issue credits, make refunds, or pay penalties. The costs incurred or delays resulting from the correction of defects or errors in our software or other performance problems may be substantial and could adversely affect our operating results.</w:t>
      </w:r>
    </w:p>
    <w:p>
      <w:pPr>
        <w:spacing w:after="0" w:line="2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Payment transactions on our ecommerce platform subject us to regulatory requirements, additional fees, and other risks that could be costly and difficult to comply with or that could harm our business.</w:t>
      </w:r>
    </w:p>
    <w:p>
      <w:pPr>
        <w:spacing w:after="0" w:line="64" w:lineRule="exact"/>
        <w:rPr>
          <w:sz w:val="20"/>
          <w:szCs w:val="20"/>
          <w:color w:val="auto"/>
        </w:rPr>
      </w:pPr>
    </w:p>
    <w:p>
      <w:pPr>
        <w:ind w:right="140" w:firstLine="510"/>
        <w:spacing w:after="0" w:line="271" w:lineRule="auto"/>
        <w:rPr>
          <w:sz w:val="20"/>
          <w:szCs w:val="20"/>
          <w:color w:val="auto"/>
        </w:rPr>
      </w:pPr>
      <w:r>
        <w:rPr>
          <w:rFonts w:ascii="Arial" w:cs="Arial" w:eastAsia="Arial" w:hAnsi="Arial"/>
          <w:sz w:val="16"/>
          <w:szCs w:val="16"/>
          <w:color w:val="auto"/>
        </w:rPr>
        <w:t>We are required by our payment processors to comply with payment card network operating rules and we have agreed to reimburse our payment processors for any fees or fines they are assessed by payment card networks as a result of any rule violations by us or our customers. The payment card networks set and interpret the card rules. We face the risk that one or more payment card networks or other processors may, at any time, assess penalties against us, against our customers, or terminate our ability to accept credit card payments or other forms of online payments from shoppers. This would have an adverse effect on our business, financial condition, and operating results.</w:t>
      </w:r>
    </w:p>
    <w:p>
      <w:pPr>
        <w:spacing w:after="0" w:line="19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If we fail to comply with the payment card network rules, including the Payment Card Industry Data Security Standard (“PCI-DSS”) and those of each of the credit card brands, we would breach our contractual obligations to our payment processors, financial institutions, partners, and customers. Such a failure may subject us to fines, penalties, damages, higher transaction fees, and civil liability. It could prevent us from processing or accepting payment cards or lead to a loss of payment processor partners, even if customer or shopper information has not been compromised.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may be subject to certain limitations.</w:t>
      </w:r>
    </w:p>
    <w:p>
      <w:pPr>
        <w:spacing w:after="0" w:line="127" w:lineRule="exact"/>
        <w:rPr>
          <w:sz w:val="20"/>
          <w:szCs w:val="20"/>
          <w:color w:val="auto"/>
        </w:rPr>
      </w:pPr>
    </w:p>
    <w:p>
      <w:pPr>
        <w:ind w:right="40" w:firstLine="667"/>
        <w:spacing w:after="0" w:line="285" w:lineRule="auto"/>
        <w:rPr>
          <w:sz w:val="20"/>
          <w:szCs w:val="20"/>
          <w:color w:val="auto"/>
        </w:rPr>
      </w:pPr>
      <w:r>
        <w:rPr>
          <w:rFonts w:ascii="Arial" w:cs="Arial" w:eastAsia="Arial" w:hAnsi="Arial"/>
          <w:sz w:val="15"/>
          <w:szCs w:val="15"/>
          <w:color w:val="auto"/>
        </w:rPr>
        <w:t>As of December 31, 2020, we had net operating loss (“NOL”) carryforwards of approximately $168.9 million and $66.5 million for federal and state tax purposes, respectively, that are available to reduce future taxable income. If not utilized, the federal and state NOL carryforwards will begin to expire in 2036. As of December 31, 2020, approximately $120.4 million of the federal NOL carryforwards do not expire and will carry forward indefinitely until utilized. As of December 31, we also had total foreign NOL carryforwards of $11.4 million, which do not expire under local law. As of December 31, 2020, we had research and development tax credit carryforwards of approximately $5.2 million and $2.2 million for federal and state tax purposes, respectively. The federal and state tax credits do not expire and will carry forward indefinitely until utilized. In general, under Section 382 and 383 of the United States Internal Revenue Code of 1986, as amended, or the Code, a corporation that undergoes an “ownership change” is subject to limitations on its ability to utilize its pre-change NOLs and other tax attributes such as research tax credits to offset future taxable income or income tax.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Furthermore, our losses in Australia are subject to the change of ownership test rules in that jurisdiction that when applied may limit our ability to fully utilize our Australian NOLs. For these reasons, we may not be able to utilize a material portion of the NOLs, even if we were to achieve profitability.</w:t>
      </w:r>
    </w:p>
    <w:p>
      <w:pPr>
        <w:spacing w:after="0" w:line="78" w:lineRule="exact"/>
        <w:rPr>
          <w:sz w:val="20"/>
          <w:szCs w:val="20"/>
          <w:color w:val="auto"/>
        </w:rPr>
      </w:pPr>
    </w:p>
    <w:p>
      <w:pPr>
        <w:ind w:firstLine="667"/>
        <w:spacing w:after="0" w:line="287" w:lineRule="auto"/>
        <w:rPr>
          <w:sz w:val="20"/>
          <w:szCs w:val="20"/>
          <w:color w:val="auto"/>
        </w:rPr>
      </w:pPr>
      <w:r>
        <w:rPr>
          <w:rFonts w:ascii="Arial" w:cs="Arial" w:eastAsia="Arial" w:hAnsi="Arial"/>
          <w:sz w:val="15"/>
          <w:szCs w:val="15"/>
          <w:color w:val="auto"/>
        </w:rPr>
        <w:t>The Tax Cuts and Jobs Act (the “TCJA”) was enacted on December 22, 2017 and significantly reformed the Code. The TCJA, among other things, generally eliminates the ability to carry back any NOLs to prior taxable years, while allowing post-2017 unused NOLs to be carried forward indefinitely. Recently enacted legislation, the Coronavirus Aid, Relief, and Economic Security Act (the “CARES Act”), temporarily reverses the limitations imposed by the TCJA by permitting a corporation to offset without limitation its taxable income in 2019 or 2020 with NOL carryforwards generated in prior years. The CARES Act also allows NOLs generated in tax years 2018-2020 to be carried back up to five years. We have reviewed our current NOLs and determined that we are not able to carryback any NOLs into prior periods. In addition, under the TCJA, as modified by the CARES Act, the amount of NOLs that we are permitted to deduct in any taxable year beginning after December 31, 2020, is limited to 80% of our taxable income in such year, where taxable income is determined without regard to the NOL deduction itself. It is uncertain if and to what extent various states will conform to the TCJA or the CARES Act. The changes in the carryforward/carryback periods as well as the limitation on use of NOLs in the taxable years beginning after December 31, 2020 may affect our ability to fully utilize our available NOLs.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of certain tax benefits that we enjoy in Ukraine could have a negative impact on our operating results and profitability.</w:t>
      </w:r>
    </w:p>
    <w:p>
      <w:pPr>
        <w:spacing w:after="0" w:line="12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5"/>
          <w:szCs w:val="15"/>
          <w:color w:val="auto"/>
        </w:rPr>
        <w:t>Substantially all of the persons who provide services used by us in Ukraine are independent contractors who are registered as private entrepreneurs with the tax authorities. They are third-party suppliers operating as independent contractors, for whom we are not required to pay social duties and personal income tax applicable to employees. Nevertheless, Ukrainian tax authorities may take a view that would result in additional financial obligations. Ukrainian tax authorities could assert a position on the classification of our independent contractors contrary to ours. They could claim we had to withhold personal income tax and to accrue single social contribution in relation to employees’ remuneration. If a national authority or court enacts legislation or adopts regulations that change the manner in which employees and independent contractors are classified, or makes any adverse determination with respect to some or all of our independent contractors, we could incur significant costs arising from fines or judgments as a result of tax withholding. All of these factors could in turn result in material adverse effects on our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 and the economy</w:t>
      </w:r>
    </w:p>
    <w:p>
      <w:pPr>
        <w:spacing w:after="0" w:line="347"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8"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The market for ecommerce solutions is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software companies that may offer related ecommerce platform software solutions and services. Our competitors include larger companies that have acquired ecommerce platform solution providers in recent years. We also compete with custom software internally developed within ecommerce businesses. In addition, we face competition from niche companies that offer point products that attempt to address certain of the problems that our platform solves.</w:t>
      </w:r>
    </w:p>
    <w:p>
      <w:pPr>
        <w:spacing w:after="0" w:line="194" w:lineRule="exact"/>
        <w:rPr>
          <w:sz w:val="20"/>
          <w:szCs w:val="20"/>
          <w:color w:val="auto"/>
        </w:rPr>
      </w:pPr>
    </w:p>
    <w:p>
      <w:pPr>
        <w:ind w:right="140" w:firstLine="510"/>
        <w:spacing w:after="0" w:line="273" w:lineRule="auto"/>
        <w:rPr>
          <w:sz w:val="20"/>
          <w:szCs w:val="20"/>
          <w:color w:val="auto"/>
        </w:rPr>
      </w:pPr>
      <w:r>
        <w:rPr>
          <w:rFonts w:ascii="Arial" w:cs="Arial" w:eastAsia="Arial" w:hAnsi="Arial"/>
          <w:sz w:val="16"/>
          <w:szCs w:val="16"/>
          <w:color w:val="auto"/>
        </w:rPr>
        <w:t>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w:t>
      </w:r>
    </w:p>
    <w:p>
      <w:pPr>
        <w:spacing w:after="0" w:line="189" w:lineRule="exact"/>
        <w:rPr>
          <w:sz w:val="20"/>
          <w:szCs w:val="20"/>
          <w:color w:val="auto"/>
        </w:rPr>
      </w:pPr>
    </w:p>
    <w:p>
      <w:pPr>
        <w:ind w:right="220" w:firstLine="510"/>
        <w:spacing w:after="0" w:line="271" w:lineRule="auto"/>
        <w:rPr>
          <w:sz w:val="20"/>
          <w:szCs w:val="20"/>
          <w:color w:val="auto"/>
        </w:rPr>
      </w:pPr>
      <w:r>
        <w:rPr>
          <w:rFonts w:ascii="Arial" w:cs="Arial" w:eastAsia="Arial" w:hAnsi="Arial"/>
          <w:sz w:val="16"/>
          <w:szCs w:val="16"/>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 addition, some of our competitors may enter into new alliances with each other or may establish or strengthen cooperative relationships with agency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partners, technology and application providers in complementary categories, or other parties. Furthermore, ecommerce on large marketplaces, such as Amazon, could increase as a percentage of all ecommerce activity, thereby reducing customer traffic to individual customer websites.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w:t>
      </w:r>
    </w:p>
    <w:p>
      <w:pPr>
        <w:spacing w:after="0" w:line="172" w:lineRule="exact"/>
        <w:rPr>
          <w:sz w:val="20"/>
          <w:szCs w:val="20"/>
          <w:color w:val="auto"/>
        </w:rPr>
      </w:pPr>
    </w:p>
    <w:p>
      <w:pPr>
        <w:ind w:right="120" w:firstLine="510"/>
        <w:spacing w:after="0" w:line="269" w:lineRule="auto"/>
        <w:rPr>
          <w:sz w:val="20"/>
          <w:szCs w:val="20"/>
          <w:color w:val="auto"/>
        </w:rPr>
      </w:pPr>
      <w:r>
        <w:rPr>
          <w:rFonts w:ascii="Arial" w:cs="Arial" w:eastAsia="Arial" w:hAnsi="Arial"/>
          <w:sz w:val="16"/>
          <w:szCs w:val="16"/>
          <w:color w:val="auto"/>
        </w:rPr>
        <w:t>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orders, reduced revenue and gross margins, increased net losses, and loss of market share. Any failure to meet and address these factors could harm our business, results of operations, and financial condition.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may continue to materially and adversely affect our business, financial condition and results of operations.</w:t>
      </w:r>
    </w:p>
    <w:p>
      <w:pPr>
        <w:spacing w:after="0" w:line="127" w:lineRule="exact"/>
        <w:rPr>
          <w:sz w:val="20"/>
          <w:szCs w:val="20"/>
          <w:color w:val="auto"/>
        </w:rPr>
      </w:pPr>
    </w:p>
    <w:p>
      <w:pPr>
        <w:ind w:right="20" w:firstLine="510"/>
        <w:spacing w:after="0" w:line="306" w:lineRule="auto"/>
        <w:rPr>
          <w:sz w:val="20"/>
          <w:szCs w:val="20"/>
          <w:color w:val="auto"/>
        </w:rPr>
      </w:pPr>
      <w:r>
        <w:rPr>
          <w:rFonts w:ascii="Arial" w:cs="Arial" w:eastAsia="Arial" w:hAnsi="Arial"/>
          <w:sz w:val="14"/>
          <w:szCs w:val="14"/>
          <w:color w:val="auto"/>
        </w:rPr>
        <w:t>The COVID-19 pandemic, the measures attempting to contain and mitigate the effects of the COVID-19 pandemic, including stay-at-home, business closure, and other restrictive orders, and the resulting changes in consumer behaviors, have disrupted our normal operations and impacted our employees, suppliers, partners, and customers. We expect these disruptions and impacts to continue. In response to the COVID-19 pandemic, we have taken a number of actions that have impacted and continue to impact our business, including transitioning employees across all our offices (including our corporate headquarters) to remote work-from-home arrangements and imposing travel and related restrictions. While we believe these actions were reasonable and necessary as a result of the COVID-19 pandemic, they were disruptive to our business and could adversely impact our results of operations. Given the continued spread of COVID-19 and the resultant personal, economic, and governmental reactions, we may have to take additional actions in the future that could harm our business, financial condition, and results of operations. While we have a distributed workforce and our employees are accustomed to working remotely or working with other remote employees, our workforce has not historically been fully remote. Prior to the COVID-19 pandemic, certain of our employees traveled frequently to establish and maintain relationships with one another and with our customers, partners, and investors. We continue to monitor the situation and may adjust our current policies as more information and guidance become available. Suspending travel and doing business in-person on a long-term basis could negatively impact our marketing efforts, our ability to enter into customer contracts in a timely manner, our international expansion efforts, and our ability to recruit employees across the organization. These changes could negatively impact our sales and marketing in particular, which could have longer-term effects on our sales pipeline, or create operational or other challenges as our workforce remains predominantly remote. Any of these impacts could harm our business. In addition, our management team has spent, and will likely continue to spend, significant time, attention, and resources monitoring the COVID-19 pandemic and associated global economic uncertainty and seeking to manage its effects on our business and workforce. As our offices reopen, planning and risk management for these reopenings will require further additional time from management and other employees, which may further reduce the amount of time available for other initiatives.</w:t>
      </w:r>
    </w:p>
    <w:p>
      <w:pPr>
        <w:spacing w:after="0" w:line="172" w:lineRule="exact"/>
        <w:rPr>
          <w:sz w:val="20"/>
          <w:szCs w:val="20"/>
          <w:color w:val="auto"/>
        </w:rPr>
      </w:pPr>
    </w:p>
    <w:p>
      <w:pPr>
        <w:ind w:firstLine="510"/>
        <w:spacing w:after="0" w:line="309" w:lineRule="auto"/>
        <w:rPr>
          <w:sz w:val="20"/>
          <w:szCs w:val="20"/>
          <w:color w:val="auto"/>
        </w:rPr>
      </w:pPr>
      <w:r>
        <w:rPr>
          <w:rFonts w:ascii="Arial" w:cs="Arial" w:eastAsia="Arial" w:hAnsi="Arial"/>
          <w:sz w:val="14"/>
          <w:szCs w:val="14"/>
          <w:color w:val="auto"/>
        </w:rPr>
        <w:t>The degree to which COVID-19 and related vaccines will affect our business and results of operations will depend on future developments that are highly uncertain and cannot currently be predicted. These developments include, but are not limited to, the duration, extent, and severity of the COVID-19 pandemic, actions taken to contain the COVID-19 pandemic, the impact of the COVID-19 pandemic and related restrictions on economic activity and domestic and international trade, the timing and deployment of any vaccine, and the extent of the impact of these and other factors on our employees, suppliers, partners, and customers. While certain COVID-19 vaccines have recently been approved and have become available for use in the United States and certain other countries, we are unable to predict when those vaccines will become widely available, how widely utilized the vaccines will be, whether they will be effective in preventing the spread of COVID-19, and when or if normal economic activity and business operations will resume. The COVID-19 pandemic and related restrictions could limit our customers’ ability to continue to operate, to obtain inventory, generate sales, or make timely payments to us. It could disrupt or delay the ability of employees to work because they become sick or are required to care for those who become sick, or for dependents for whom external care is not available. It could cause delays or disruptions in services provided by key suppliers and vendors, make us, our partners, and our service providers more vulnerable to security breaches, denial of service attacks or other hacking or phishing attacks, or cause other unpredictable effects.</w:t>
      </w:r>
    </w:p>
    <w:p>
      <w:pPr>
        <w:spacing w:after="0" w:line="168" w:lineRule="exact"/>
        <w:rPr>
          <w:sz w:val="20"/>
          <w:szCs w:val="20"/>
          <w:color w:val="auto"/>
        </w:rPr>
      </w:pPr>
    </w:p>
    <w:p>
      <w:pPr>
        <w:ind w:right="80" w:firstLine="510"/>
        <w:spacing w:after="0" w:line="289" w:lineRule="auto"/>
        <w:rPr>
          <w:sz w:val="20"/>
          <w:szCs w:val="20"/>
          <w:color w:val="auto"/>
        </w:rPr>
      </w:pPr>
      <w:r>
        <w:rPr>
          <w:rFonts w:ascii="Arial" w:cs="Arial" w:eastAsia="Arial" w:hAnsi="Arial"/>
          <w:sz w:val="15"/>
          <w:szCs w:val="15"/>
          <w:color w:val="auto"/>
        </w:rPr>
        <w:t>The COVID-19 pandemic also has caused heightened uncertainty in the global economy. If economic conditions further deteriorate, consumers may not have the financial means to make purchases from our customers and may delay or reduce discretionary purchases, negatively impacting our customers and our results of operations. Uncertainty from the pandemic may cause prospective or existing customers to defer investment in ecommerce. Our SMB customers may be more susceptible to general economic conditions than larger businesses, which may have greater liquidity and access to capital. Uncertain and adverse economic conditions also may lead to increased refunds and chargebacks. Since the impact of COVID-19 is ongoing, the effect of the COVID-19 pandemic and the related impact on the global economy may not be fully reflected in our results of operations until future periods. Volatility in the capital markets has been heightened during recent months and such volatility may continue, which may cause declines in the price of our Series 1 common stock.</w:t>
      </w:r>
    </w:p>
    <w:p>
      <w:pPr>
        <w:spacing w:after="0" w:line="180"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To the extent there is a sustained general economic downturn and our software is perceived by customers and potential customers as costly, or too difficult to deploy or migrate to, our revenue may be disproportionately affected. Our revenue may also be disproportionately affected by delays or reductions in general information technology spending.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markets in which we operate worsen from present levels, our business, results of operations, and financial condition could be materially and adversely affected.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current operations are international in scope, and we plan further geographic expansion. This will create a variety of operational challenges.</w:t>
      </w:r>
    </w:p>
    <w:p>
      <w:pPr>
        <w:spacing w:after="0" w:line="127" w:lineRule="exact"/>
        <w:rPr>
          <w:sz w:val="20"/>
          <w:szCs w:val="20"/>
          <w:color w:val="auto"/>
        </w:rPr>
      </w:pPr>
    </w:p>
    <w:p>
      <w:pPr>
        <w:ind w:right="20" w:firstLine="510"/>
        <w:spacing w:after="0" w:line="315" w:lineRule="auto"/>
        <w:rPr>
          <w:sz w:val="20"/>
          <w:szCs w:val="20"/>
          <w:color w:val="auto"/>
        </w:rPr>
      </w:pPr>
      <w:r>
        <w:rPr>
          <w:rFonts w:ascii="Arial" w:cs="Arial" w:eastAsia="Arial" w:hAnsi="Arial"/>
          <w:sz w:val="14"/>
          <w:szCs w:val="14"/>
          <w:color w:val="auto"/>
        </w:rPr>
        <w:t>A component of our growth strategy involves the further expansion of our operations and customer base internationally. In the case of the two most recent fiscal years, approximately 20 percent of our revenue has been generated from customers outside the United States. We currently have locations in the United States, Australia, the United Kingdom (“UK”), Singapore, and Ukraine. We are continuing to adapt and develop strategies to address international markets, but such efforts may not be successful. In addition, the COVID-19 pandemic and related stay-at-home, business closure, and other restrictive orders and travel restrictions in the US, EMEA, Australia and Asia, may pose additional challenges for international expansion and may impact our ability to launch new locations and further expand geographically. For example, some of the jurisdictions into which we are currently trying to expand our presence are extending or expanding lockdowns, which may adversely affect our efforts.</w:t>
      </w:r>
    </w:p>
    <w:p>
      <w:pPr>
        <w:spacing w:after="0" w:line="163"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We have a significant number of full-time employees and private entrepreneurs outside of the United States. We expect that our international activities will continue to grow over the foreseeable future as we continue to pursue opportunities in existing and new international markets. This will require significant management attention and financial resources. We may face difficulties, including: (1) costs associated with developing software and providing support in many languages, (2) varying seasonality patterns, (3) potential adverse movement of currency exchange rates, (4) longer payment cycles and difficulties in collecting accounts receivable, (5) tariffs and trade barriers, (6) a variety of regulatory or contractual limitations on our ability to operate, (7) adverse tax events, (8) reduced protection of intellectual property rights, (9) a geographically and culturally diverse workforce and customer base, and (10) travel restrictions associated with the COVID-19 pandemic. Failure to overcome any of these difficulties could negatively affect our results of operations.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current international operations and future initiatives involve a variety of risks, including:</w:t>
      </w:r>
    </w:p>
    <w:p>
      <w:pPr>
        <w:spacing w:after="0" w:line="12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a country’s or region’s political or economic conditions;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need to adapt and localize our platform for specific countries;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greater difficulty collecting accounts receivable and longer payment cycles;</w:t>
      </w:r>
    </w:p>
    <w:p>
      <w:pPr>
        <w:spacing w:after="0" w:line="140" w:lineRule="exact"/>
        <w:rPr>
          <w:rFonts w:ascii="Arial" w:cs="Arial" w:eastAsia="Arial" w:hAnsi="Arial"/>
          <w:sz w:val="16"/>
          <w:szCs w:val="16"/>
          <w:color w:val="auto"/>
        </w:rPr>
      </w:pPr>
    </w:p>
    <w:p>
      <w:pPr>
        <w:ind w:left="100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 changes in trade relations arising from policy initiatives implemented by the current administration, which has been critical of existing and proposed trade agreements;</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unexpected changes in laws, regulatory requirements, taxes, or trade laws;</w:t>
      </w:r>
    </w:p>
    <w:p>
      <w:pPr>
        <w:spacing w:after="0" w:line="140" w:lineRule="exact"/>
        <w:rPr>
          <w:rFonts w:ascii="Arial" w:cs="Arial" w:eastAsia="Arial" w:hAnsi="Arial"/>
          <w:sz w:val="16"/>
          <w:szCs w:val="16"/>
          <w:color w:val="auto"/>
        </w:rPr>
      </w:pPr>
    </w:p>
    <w:p>
      <w:pPr>
        <w:ind w:left="1000" w:right="16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more stringent regulations relating to privacy and data security and the unauthorized use of, or access to, commercial and personal information, particularly in Europe;</w:t>
      </w:r>
    </w:p>
    <w:p>
      <w:pPr>
        <w:spacing w:after="0" w:line="63" w:lineRule="exact"/>
        <w:rPr>
          <w:rFonts w:ascii="Arial" w:cs="Arial" w:eastAsia="Arial" w:hAnsi="Arial"/>
          <w:sz w:val="16"/>
          <w:szCs w:val="16"/>
          <w:color w:val="auto"/>
        </w:rPr>
      </w:pPr>
    </w:p>
    <w:p>
      <w:pPr>
        <w:ind w:left="100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differing labor regulations, especially in Europe, where labor laws are generally more advantageous to employees as compared to the United States, including deemed hourly wage and overtime regulations in these locations;</w:t>
      </w:r>
    </w:p>
    <w:p>
      <w:pPr>
        <w:spacing w:after="0" w:line="63" w:lineRule="exact"/>
        <w:rPr>
          <w:rFonts w:ascii="Arial" w:cs="Arial" w:eastAsia="Arial" w:hAnsi="Arial"/>
          <w:sz w:val="16"/>
          <w:szCs w:val="16"/>
          <w:color w:val="auto"/>
        </w:rPr>
      </w:pPr>
    </w:p>
    <w:p>
      <w:pPr>
        <w:ind w:left="1000" w:right="92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challenges inherent in efficiently managing an increased number of employees over large geographic distances (including in a work-from-home environment), including the need to implement appropriate systems, policies, benefits, and compliance programs;</w:t>
      </w:r>
    </w:p>
    <w:p>
      <w:pPr>
        <w:spacing w:after="0" w:line="63" w:lineRule="exact"/>
        <w:rPr>
          <w:rFonts w:ascii="Arial" w:cs="Arial" w:eastAsia="Arial" w:hAnsi="Arial"/>
          <w:sz w:val="16"/>
          <w:szCs w:val="16"/>
          <w:color w:val="auto"/>
        </w:rPr>
      </w:pPr>
    </w:p>
    <w:p>
      <w:pPr>
        <w:ind w:left="1000" w:right="42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managing a business in new markets with diverse cultures, languages, customs, legal systems, alternative dispute systems, and regulatory systems;</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increased travel, real estate, infrastructure, and legal compliance costs associated with international operations;</w:t>
      </w:r>
    </w:p>
    <w:p>
      <w:pPr>
        <w:spacing w:after="0" w:line="140" w:lineRule="exact"/>
        <w:rPr>
          <w:rFonts w:ascii="Arial" w:cs="Arial" w:eastAsia="Arial" w:hAnsi="Arial"/>
          <w:sz w:val="16"/>
          <w:szCs w:val="16"/>
          <w:color w:val="auto"/>
        </w:rPr>
      </w:pPr>
    </w:p>
    <w:p>
      <w:pPr>
        <w:ind w:left="1000" w:right="28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exchange rate fluctuations and the resulting effect on our revenue and expenses, and the cost and risk of entering into hedging transactions if we chose to do so in the future;</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 or general preferences for local vendors;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limited or insufficient intellectual property protection or difficulties enforcing our intellectual property;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political instability or terrorist activities;</w:t>
      </w:r>
    </w:p>
    <w:p>
      <w:pPr>
        <w:spacing w:after="0" w:line="140" w:lineRule="exact"/>
        <w:rPr>
          <w:rFonts w:ascii="Arial" w:cs="Arial" w:eastAsia="Arial" w:hAnsi="Arial"/>
          <w:sz w:val="16"/>
          <w:szCs w:val="16"/>
          <w:color w:val="auto"/>
        </w:rPr>
      </w:pPr>
    </w:p>
    <w:p>
      <w:pPr>
        <w:ind w:left="1000" w:right="740" w:hanging="493"/>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risks related to global health epidemics, such as the COVID-19 pandemic, including restrictions on our ability and our customers’ ability to travel, disruptions in our customers’ ability to distribute products, and temporary closures of our customers’ facilities;</w:t>
      </w:r>
    </w:p>
    <w:p>
      <w:pPr>
        <w:spacing w:after="0" w:line="63" w:lineRule="exact"/>
        <w:rPr>
          <w:rFonts w:ascii="Arial" w:cs="Arial" w:eastAsia="Arial" w:hAnsi="Arial"/>
          <w:sz w:val="16"/>
          <w:szCs w:val="16"/>
          <w:color w:val="auto"/>
        </w:rPr>
      </w:pPr>
    </w:p>
    <w:p>
      <w:pPr>
        <w:ind w:left="1000" w:right="200" w:hanging="493"/>
        <w:spacing w:after="0" w:line="278"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of 1977, as amended (the “FCPA”), the U.S. domestic bribery statute contained in 18 U.S.C. § 201, the U.S. Travel Act, the UK Bribery Act of 2010, the UK Proceeds of Crime Act 2002, and similar laws and regulations in other jurisdictions; and</w:t>
      </w:r>
    </w:p>
    <w:p>
      <w:pPr>
        <w:spacing w:after="0" w:line="76"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 tax burdens and foreign exchange controls that could make it difficult to repatriate earnings and cash.</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left="1000" w:right="40" w:hanging="493"/>
        <w:spacing w:after="0" w:line="278"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limited experience in operating our business internationally increases the risk that future expansion efforts that we may undertake will not be successful. If we invest substantial time and resources to expand our international operations and are unable to do so successfully, our business and operating results will suffer.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reduce or change our pricing model to remain competitive.</w:t>
      </w:r>
    </w:p>
    <w:p>
      <w:pPr>
        <w:spacing w:after="0" w:line="127" w:lineRule="exact"/>
        <w:rPr>
          <w:sz w:val="20"/>
          <w:szCs w:val="20"/>
          <w:color w:val="auto"/>
        </w:rPr>
      </w:pPr>
    </w:p>
    <w:p>
      <w:pPr>
        <w:ind w:right="300" w:firstLine="510"/>
        <w:spacing w:after="0" w:line="293" w:lineRule="auto"/>
        <w:rPr>
          <w:sz w:val="20"/>
          <w:szCs w:val="20"/>
          <w:color w:val="auto"/>
        </w:rPr>
      </w:pPr>
      <w:r>
        <w:rPr>
          <w:rFonts w:ascii="Arial" w:cs="Arial" w:eastAsia="Arial" w:hAnsi="Arial"/>
          <w:sz w:val="15"/>
          <w:szCs w:val="15"/>
          <w:color w:val="auto"/>
        </w:rPr>
        <w:t>We price our subscriptions based on a combination of transaction and order volume, and feature functionality.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Mid-market and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Evolving global laws, regulations and standards, privacy regulations, cross-border data transfer restrictions, and data localization requirements may limit the use and adoption of our services, expose us to liability, or otherwise adversely affect our business.</w:t>
      </w:r>
    </w:p>
    <w:p>
      <w:pPr>
        <w:spacing w:after="0" w:line="64" w:lineRule="exact"/>
        <w:rPr>
          <w:sz w:val="20"/>
          <w:szCs w:val="20"/>
          <w:color w:val="auto"/>
        </w:rPr>
      </w:pPr>
    </w:p>
    <w:p>
      <w:pPr>
        <w:ind w:right="20" w:firstLine="510"/>
        <w:spacing w:after="0" w:line="293" w:lineRule="auto"/>
        <w:rPr>
          <w:sz w:val="20"/>
          <w:szCs w:val="20"/>
          <w:color w:val="auto"/>
        </w:rPr>
      </w:pPr>
      <w:r>
        <w:rPr>
          <w:rFonts w:ascii="Arial" w:cs="Arial" w:eastAsia="Arial" w:hAnsi="Arial"/>
          <w:sz w:val="15"/>
          <w:szCs w:val="15"/>
          <w:color w:val="auto"/>
        </w:rPr>
        <w:t>Federal, state, or foreign governmental bodies or agencies have in the past adopted, and may in the future adopt, laws and regulations affecting the use of the internet as a commercial medium. These laws and regulations could impact taxation, internet neutrality, tariffs, content, copyrights, distribution, electronic contracts and other communications, consumer protection, and the characteristics and quality of services. Legislators and regulators may make legal and regulatory changes, or apply existing laws, in ways that require us to incur substantial costs, expose us to unanticipated civil or criminal liability, or cause us to change our business practices. These laws and regulations and resulting increased costs could materially harm our business, results of operations, and financial condition.</w:t>
      </w:r>
    </w:p>
    <w:p>
      <w:pPr>
        <w:spacing w:after="0" w:line="176" w:lineRule="exact"/>
        <w:rPr>
          <w:sz w:val="20"/>
          <w:szCs w:val="20"/>
          <w:color w:val="auto"/>
        </w:rPr>
      </w:pPr>
    </w:p>
    <w:p>
      <w:pPr>
        <w:ind w:firstLine="510"/>
        <w:spacing w:after="0" w:line="267" w:lineRule="auto"/>
        <w:rPr>
          <w:sz w:val="20"/>
          <w:szCs w:val="20"/>
          <w:color w:val="auto"/>
        </w:rPr>
      </w:pPr>
      <w:r>
        <w:rPr>
          <w:rFonts w:ascii="Arial" w:cs="Arial" w:eastAsia="Arial" w:hAnsi="Arial"/>
          <w:sz w:val="16"/>
          <w:szCs w:val="16"/>
          <w:color w:val="auto"/>
        </w:rPr>
        <w:t>Laws and regulations governing data privacy are constantly evolving. Many of these laws and regulations, including the European Union’s GDPR and the California Consumer Privacy Act (the “CCPA”), contain detailed requirements regarding collecting and processing personal information, restrict the use and storage of such information, and govern the effectiveness of consumer consent. Additionally, a new privacy law, the California Privacy Rights Act (the “CPRA”), was approved by California voters in the November 3, 2020 election. The CPRA will create additional obligations relating to consumer data beginning on January 1, 2022, with implementing regulations expected on or before July 1, 2022, and enforcement beginning July 1, 2023. These laws and regulations could restrict our ability to store and process personal data (in particular, our ability to use certain data for purposes such as risk or fraud avoidance, marketing or advertising), to control our costs by using certain vendors or service providers, and to offer certain services in certain jurisdictions. Further, the CCPA requires covered companies to provide new disclosures to California consumers, provide such consumers new ways to opt-out of certain sales of personal information, and allow for a new cause of action for data breaches. Such laws could restrict our customers’ ability to run their businesses; for example, by limiting their ability to effectively market to interested shoppers. This could reduce our revenue and the general demand for our services.</w:t>
      </w:r>
    </w:p>
    <w:p>
      <w:pPr>
        <w:spacing w:after="0" w:line="194" w:lineRule="exact"/>
        <w:rPr>
          <w:sz w:val="20"/>
          <w:szCs w:val="20"/>
          <w:color w:val="auto"/>
        </w:rPr>
      </w:pPr>
    </w:p>
    <w:p>
      <w:pPr>
        <w:ind w:firstLine="510"/>
        <w:spacing w:after="0" w:line="309" w:lineRule="auto"/>
        <w:rPr>
          <w:sz w:val="20"/>
          <w:szCs w:val="20"/>
          <w:color w:val="auto"/>
        </w:rPr>
      </w:pPr>
      <w:r>
        <w:rPr>
          <w:rFonts w:ascii="Arial" w:cs="Arial" w:eastAsia="Arial" w:hAnsi="Arial"/>
          <w:sz w:val="14"/>
          <w:szCs w:val="14"/>
          <w:color w:val="auto"/>
        </w:rPr>
        <w:t>Such laws and regulations are often inconsistent and may be subject to amendment or re-interpretation, which may cause us to incur significant costs and expend significant effort to ensure compliance. For example, the European Court of Justice recently invalidated the U.S.-EU Privacy Shield as a basis for transfers of personal data from the EU to the U.S. and introduced requirements to carry out risk assessments in relation to use of other data transfer mechanisms. This may increase regulatory and compliance burdens and may lead to uncertainty about or interruptions of personal data transfers from Europe to the United States (and beyond).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 Our response to these requirements globally may not meet the expectations of individual customers, their shoppers, or other stakeholders, which could reduce the demand for our services.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68"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Certain laws and regulations, like the GDPR, also include restrictions on the transfer of personal information across national borders. Because our services are accessible worldwide, certain foreign jurisdictions may claim that we are required to comply with such laws even in jurisdictions where we have no local entity, employees or infrastructure. Some of these laws include strict localization provisions that require certain data to be stored within a particular region or jurisdiction. We rely on a globally distributed infrastructure in order to be able to provide our services efficiently, and consequently may not be able to meet the expectations of customers who are located in or otherwise subject to such localization requirements, which may reduce the demand for our services. In addition, the United Kingdom enacted legislation in May 2018 that substantially implements the GDPR, but the United Kingdom’s exit from the EU (which formally occurred on January 31, 2020), commonly referred to as “Brexit”, has created uncertainty with regard to the regulation of data protection in the United Kingdom.</w:t>
      </w:r>
    </w:p>
    <w:p>
      <w:pPr>
        <w:spacing w:after="0" w:line="180"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Our failure to comply with these and additional laws or regulations could expose us to significant fines and penalties imposed by regulators, as well as legal claims by our customers, or their shoppers, or other relevant stakeholders. Similarly, many of these laws require us to maintain an online privacy policy and terms of service that disclose our practices regarding the collection, processing, and disclosure of personal information. If these disclosures contain any information that a court or regulator finds to be inaccurate or inadequate, we could also be exposed to legal or regulatory liability. Any such proceedings or violations could force us to spend money in defense or settlement, result in the imposition of monetary liability or demanding injunctive relief, divert management’s time and attention, increase our costs of doing business, and materially adversely affect our reputation.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80"/>
        <w:spacing w:after="0" w:line="293" w:lineRule="auto"/>
        <w:rPr>
          <w:sz w:val="20"/>
          <w:szCs w:val="20"/>
          <w:color w:val="auto"/>
        </w:rPr>
      </w:pPr>
      <w:r>
        <w:rPr>
          <w:rFonts w:ascii="Arial" w:cs="Arial" w:eastAsia="Arial" w:hAnsi="Arial"/>
          <w:sz w:val="16"/>
          <w:szCs w:val="16"/>
          <w:b w:val="1"/>
          <w:bCs w:val="1"/>
          <w:i w:val="1"/>
          <w:iCs w:val="1"/>
          <w:color w:val="auto"/>
        </w:rPr>
        <w:t>Mobile devices are increasingly being used to conduct commerce, and if our platform does not operate as effectively when accessed through these devices, our customers and their shoppers may not be satisfied with our services, which could harm our business.</w:t>
      </w:r>
    </w:p>
    <w:p>
      <w:pPr>
        <w:spacing w:after="0" w:line="64" w:lineRule="exact"/>
        <w:rPr>
          <w:sz w:val="20"/>
          <w:szCs w:val="20"/>
          <w:color w:val="auto"/>
        </w:rPr>
      </w:pPr>
    </w:p>
    <w:p>
      <w:pPr>
        <w:ind w:right="40" w:firstLine="510"/>
        <w:spacing w:after="0" w:line="293" w:lineRule="auto"/>
        <w:rPr>
          <w:sz w:val="20"/>
          <w:szCs w:val="20"/>
          <w:color w:val="auto"/>
        </w:rPr>
      </w:pPr>
      <w:r>
        <w:rPr>
          <w:rFonts w:ascii="Arial" w:cs="Arial" w:eastAsia="Arial" w:hAnsi="Arial"/>
          <w:sz w:val="15"/>
          <w:szCs w:val="15"/>
          <w:color w:val="auto"/>
        </w:rPr>
        <w:t>Ecommerce transacted over mobile devices continues to grow more rapidly than desktop transactions. We are dependent on the interoperability of our platform with third-party mobile devices and mobile operating systems as well as web browsers that are out of our control. Changes in such devices, systems, or web browsers that degrade the functionality of our platform or give preferential treatment to competitive services could adversely affect usage of our platform. Mobile ecommerce is a key element in our strategy and effective mobile functionality is integral to our long-term development and growth strategy. If our customers and their shoppers have difficulty accessing and using our platform on mobile devices, our business and operating results could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Activities of customers, their shoppers, and our partners could damage our brand, subject us to liability and harm our business and financial results.</w:t>
      </w:r>
    </w:p>
    <w:p>
      <w:pPr>
        <w:spacing w:after="0" w:line="138"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Our terms of service prohibit our customers from using our platform to engage in illegal activities and our terms of service permit us to take down a customer’s shop if we become aware of illegal use. Customers may nonetheless engage in prohibited or illegal activities or upload store content in violation of applicable laws, which could subject us to liability. Our partners may engage in prohibited or illegal activities, which could subject us to liability. Furthermore, our brand may be negatively impacted by the actions of customers or partners that are deemed to be hostile, offensive, inappropriate, or illegal. We do not proactively monitor or review the appropriateness of the content of our customers’ stores or our partners’ activities. Our safeguards may not be sufficient for us to avoid liability or avoid harm to our brand. Hostile, offensive, inappropriate, or illegal use could adversely affect our business and financial results.</w:t>
      </w:r>
    </w:p>
    <w:p>
      <w:pPr>
        <w:spacing w:after="0" w:line="194"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In many jurisdictions, laws relating to the liability of providers of online services for activities of their shoppers and other third parties are being tested by actions based on defamation, invasion of privacy, unfair competition, copyright and trademark infringement, and other theories. Any court ruling or other governmental regulation or action that imposes liability on customers of online services in connection with the activities of their shoppers could harm our business. We could also be subject to liability under applicable law, which may not be fully mitigated by our terms of service. Any liability attributed to us could adversely affect our brand, reputation, ability to expand our subscriber base, and financial results.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provide our ecommerce platform to businesses in highly-regulated industries, which subjects us to a number of challenges and risks.</w:t>
      </w:r>
    </w:p>
    <w:p>
      <w:pPr>
        <w:spacing w:after="0" w:line="127" w:lineRule="exact"/>
        <w:rPr>
          <w:sz w:val="20"/>
          <w:szCs w:val="20"/>
          <w:color w:val="auto"/>
        </w:rPr>
      </w:pPr>
    </w:p>
    <w:p>
      <w:pPr>
        <w:ind w:right="60" w:firstLine="510"/>
        <w:spacing w:after="0" w:line="288" w:lineRule="auto"/>
        <w:rPr>
          <w:sz w:val="20"/>
          <w:szCs w:val="20"/>
          <w:color w:val="auto"/>
        </w:rPr>
      </w:pPr>
      <w:r>
        <w:rPr>
          <w:rFonts w:ascii="Arial" w:cs="Arial" w:eastAsia="Arial" w:hAnsi="Arial"/>
          <w:sz w:val="15"/>
          <w:szCs w:val="15"/>
          <w:color w:val="auto"/>
        </w:rPr>
        <w:t>We provide our ecommerce platform to customers in highly regulated industries such as pharmaceuticals, insurance, healthcare and life sciences, and we may have customers in other highly-regulated industries in the future. Providing our ecommerce platform to such entities subjects us to a number of challenges and risks. Selling to such entities can be highly competitive, expensive, and time-consuming, often requiring significant upfront time and expense without any assurance that these efforts will generate a sale. Customers in highly-regulated industries may demand shorter subscription periods or other contract terms that differ from our standard arrangements, including terms that can lead those customers to obtain broader rights in our offerings than would be standard. Such entities may have statutory, contractual, or other legal rights to terminate contracts with us or our partners due to a default or for other reasons. Any such termination may adversely affect our reputation, business, results of operations and financial condition. Additionally, due to the heightened regulatory environment in which they operate, potential customers in these industries may encounter additional difficulties when trying to move away from legacy ecommerce platforms to an open SaaS platform like the one we provide.</w:t>
      </w:r>
    </w:p>
    <w:p>
      <w:pPr>
        <w:spacing w:after="0" w:line="288"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b w:val="1"/>
          <w:bCs w:val="1"/>
          <w:i w:val="1"/>
          <w:iCs w:val="1"/>
          <w:color w:val="auto"/>
        </w:rPr>
        <w:t>We may be subject to additional obligations to collect and remit sales tax and other taxes. We may be subject to tax liability for past sales, which could harm our business.</w:t>
      </w:r>
    </w:p>
    <w:p>
      <w:pPr>
        <w:spacing w:after="0" w:line="64" w:lineRule="exact"/>
        <w:rPr>
          <w:sz w:val="20"/>
          <w:szCs w:val="20"/>
          <w:color w:val="auto"/>
        </w:rPr>
      </w:pPr>
    </w:p>
    <w:p>
      <w:pPr>
        <w:ind w:right="260" w:firstLine="510"/>
        <w:spacing w:after="0" w:line="269" w:lineRule="auto"/>
        <w:rPr>
          <w:sz w:val="20"/>
          <w:szCs w:val="20"/>
          <w:color w:val="auto"/>
        </w:rPr>
      </w:pPr>
      <w:r>
        <w:rPr>
          <w:rFonts w:ascii="Arial" w:cs="Arial" w:eastAsia="Arial" w:hAnsi="Arial"/>
          <w:sz w:val="16"/>
          <w:szCs w:val="16"/>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we could face tax assessments and audits. Our liability for these taxes and associated penalties could exceed our original estimates. Jurisdictions in which we have not historically collected or accrued sales, use, value added, or other taxes could assert our liability for such taxes. This could result in substantial tax liabilities and related penalties for past sales. It could also discourage customers from using our platform or otherwise harm our business and operating results</w:t>
      </w:r>
    </w:p>
    <w:p>
      <w:pPr>
        <w:spacing w:after="0" w:line="302"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could increase the cost of our ecommerce platform and adversely impact our business.</w:t>
      </w:r>
    </w:p>
    <w:p>
      <w:pPr>
        <w:spacing w:after="0" w:line="64"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Any new taxes could adversely affect our domestic and international business operations and our business and financial performance. Existing tax laws, statutes, rules, regulations, or ordinances could be interpreted, changed, modified or applied adversely to us. These events could require us or customers using our ecommerce platform to pay additional tax amounts on a prospective or retroactive basis. They could require us or our customers to pay fines and/or penalties and interest for past amounts deemed to be due. If we raise our prices to offset the costs of these changes, existing and potential future customers may elect not to continue to subscribe or elect to subscribe to our ecommerce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owning our Series 1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shares of our Series 1 common stock has been and may continue to be volatile, which could cause the value of your investment to decline.</w:t>
      </w:r>
    </w:p>
    <w:p>
      <w:pPr>
        <w:spacing w:after="0" w:line="15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6"/>
          <w:szCs w:val="16"/>
          <w:color w:val="auto"/>
        </w:rPr>
        <w:t>The market price of our Series 1 common stock has been highly volatile and could be subject to wide fluctuations. Securities markets worldwide experience significant price and volume fluctuations. The securities markets have experienced significant volatility as a result of the COVID-19 pandemic. Market volatility, as well as general economic, market, or political conditions, including the U.S. presidential election in 2020, could reduce the market price of shares of our Series 1 common stock regardless of our operating performance.</w:t>
      </w:r>
    </w:p>
    <w:p>
      <w:pPr>
        <w:spacing w:after="0" w:line="189" w:lineRule="exact"/>
        <w:rPr>
          <w:sz w:val="20"/>
          <w:szCs w:val="20"/>
          <w:color w:val="auto"/>
        </w:rPr>
      </w:pPr>
    </w:p>
    <w:p>
      <w:pPr>
        <w:ind w:firstLine="510"/>
        <w:spacing w:after="0" w:line="268" w:lineRule="auto"/>
        <w:rPr>
          <w:sz w:val="20"/>
          <w:szCs w:val="20"/>
          <w:color w:val="auto"/>
        </w:rPr>
      </w:pPr>
      <w:r>
        <w:rPr>
          <w:rFonts w:ascii="Arial" w:cs="Arial" w:eastAsia="Arial" w:hAnsi="Arial"/>
          <w:sz w:val="16"/>
          <w:szCs w:val="16"/>
          <w:color w:val="auto"/>
        </w:rPr>
        <w:t>Our operating results could be below the expectations of public market analysts and investors due to a number of potential factors, including: (1) variations in our quarterly operating results or dividends, if any, to stockholders, (2) additions or departures of key management personnel, (3) publication of research reports about our industry, (4) litigation and government investigations, (5) changes or proposed changes in laws or regulations or differing interpretations or enforcement of laws or regulations affecting our business, (6) adverse market reaction to any indebtedness we may incur or securities we may issue in the future, (7) changes in market valuations of similar companies, (8) speculation in the press or investment community, (9) announcements by our competitors of significant contracts, acquisitions, dispositions, strategic partnerships, joint ventures, or capital commitments, (10) the impact of the COVID-19 pandemic on our management, employees, partners, customers, and operating results, and (11) adverse publicity about the industries we participate in or individual scandals. In response, the market price of shares of our Series 1 common stock could decrease significantly.</w:t>
      </w:r>
    </w:p>
    <w:p>
      <w:pPr>
        <w:spacing w:after="0" w:line="192" w:lineRule="exact"/>
        <w:rPr>
          <w:sz w:val="20"/>
          <w:szCs w:val="20"/>
          <w:color w:val="auto"/>
        </w:rPr>
      </w:pPr>
    </w:p>
    <w:p>
      <w:pPr>
        <w:ind w:right="80" w:firstLine="510"/>
        <w:spacing w:after="0" w:line="328" w:lineRule="auto"/>
        <w:rPr>
          <w:sz w:val="20"/>
          <w:szCs w:val="20"/>
          <w:color w:val="auto"/>
        </w:rPr>
      </w:pPr>
      <w:r>
        <w:rPr>
          <w:rFonts w:ascii="Arial" w:cs="Arial" w:eastAsia="Arial" w:hAnsi="Arial"/>
          <w:sz w:val="15"/>
          <w:szCs w:val="15"/>
          <w:color w:val="auto"/>
        </w:rPr>
        <w:t>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258"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or equity issued to raise additional capital may reduce the value of our Series 1 common stock.</w:t>
      </w:r>
    </w:p>
    <w:p>
      <w:pPr>
        <w:spacing w:after="0" w:line="18" w:lineRule="exact"/>
        <w:rPr>
          <w:sz w:val="20"/>
          <w:szCs w:val="20"/>
          <w:color w:val="auto"/>
        </w:rPr>
      </w:pPr>
    </w:p>
    <w:p>
      <w:pPr>
        <w:ind w:right="580" w:firstLine="510"/>
        <w:spacing w:after="0" w:line="328" w:lineRule="auto"/>
        <w:rPr>
          <w:sz w:val="20"/>
          <w:szCs w:val="20"/>
          <w:color w:val="auto"/>
        </w:rPr>
      </w:pPr>
      <w:r>
        <w:rPr>
          <w:rFonts w:ascii="Arial" w:cs="Arial" w:eastAsia="Arial" w:hAnsi="Arial"/>
          <w:sz w:val="15"/>
          <w:szCs w:val="15"/>
          <w:color w:val="auto"/>
        </w:rPr>
        <w:t>We have funded our operations since inception primarily through equity financings, debt, and payments by our customers for use of our platform and related services. We cannot be certain when or if our operations will generate sufficient cash to fund our ongoing operations or the growth of our business.</w:t>
      </w:r>
    </w:p>
    <w:p>
      <w:pPr>
        <w:spacing w:after="0" w:line="150" w:lineRule="exact"/>
        <w:rPr>
          <w:sz w:val="20"/>
          <w:szCs w:val="20"/>
          <w:color w:val="auto"/>
        </w:rPr>
      </w:pPr>
    </w:p>
    <w:p>
      <w:pPr>
        <w:ind w:right="20" w:firstLine="510"/>
        <w:spacing w:after="0" w:line="268" w:lineRule="auto"/>
        <w:rPr>
          <w:sz w:val="20"/>
          <w:szCs w:val="20"/>
          <w:color w:val="auto"/>
        </w:rPr>
      </w:pPr>
      <w:r>
        <w:rPr>
          <w:rFonts w:ascii="Arial" w:cs="Arial" w:eastAsia="Arial" w:hAnsi="Arial"/>
          <w:sz w:val="16"/>
          <w:szCs w:val="16"/>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additional debt, the debt holders could have rights senior to holders of Series 1 common stock to make claims on our assets. The terms of any debt could restrict our operations, including our ability to pay dividends on our Series 1 common stock. If we issue additional equity securities, stockholders will experience dilution, and the new equity securities could have rights senior to those of our Series 1 common stock. Because our decision to issue securities in the future offering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Series 1 common stock and diluting their interest.</w:t>
      </w:r>
    </w:p>
    <w:p>
      <w:pPr>
        <w:spacing w:after="0" w:line="300"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64" w:lineRule="exact"/>
        <w:rPr>
          <w:sz w:val="20"/>
          <w:szCs w:val="20"/>
          <w:color w:val="auto"/>
        </w:rPr>
      </w:pPr>
    </w:p>
    <w:p>
      <w:pPr>
        <w:ind w:right="100" w:firstLine="510"/>
        <w:spacing w:after="0" w:line="287" w:lineRule="auto"/>
        <w:rPr>
          <w:sz w:val="20"/>
          <w:szCs w:val="20"/>
          <w:color w:val="auto"/>
        </w:rPr>
      </w:pPr>
      <w:r>
        <w:rPr>
          <w:rFonts w:ascii="Arial" w:cs="Arial" w:eastAsia="Arial" w:hAnsi="Arial"/>
          <w:sz w:val="15"/>
          <w:szCs w:val="15"/>
          <w:color w:val="auto"/>
        </w:rPr>
        <w:t>As of December 31, 2020, our directors, executive officers, and current beneficial owners of 5% or more of our voting securities and their respective affiliates beneficially own, in the aggregate, approximately 41.5% of our outstanding Series 1 common stock Further, Steven Murray, a member of our board of directors and the operating manager of the ultimate general partner of Revolution Growth, Lawrence Bohn, a member of our board of directors and a partner of General Catalyst Group, and Jeff Richards, a member of our board of directors and managing director of GGV Capital, beneficially own an aggregate of approximately 8.1%, 11.6%, and 4.0% of our Series 1 common stock, respectively, as of December 31, 2020. This significant concentration of ownership may adversely affect the trading price for our Series 1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your ability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28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We have no current plans to pay cash dividends on our Series 1 common stock; as a result, you may not receive any return on investment unless you sell your Series 1 common stock for a price greater than that which you paid for it.</w:t>
      </w:r>
    </w:p>
    <w:p>
      <w:pPr>
        <w:spacing w:after="0" w:line="64" w:lineRule="exact"/>
        <w:rPr>
          <w:sz w:val="20"/>
          <w:szCs w:val="20"/>
          <w:color w:val="auto"/>
        </w:rPr>
      </w:pPr>
    </w:p>
    <w:p>
      <w:pPr>
        <w:ind w:right="120" w:firstLine="510"/>
        <w:spacing w:after="0" w:line="271" w:lineRule="auto"/>
        <w:rPr>
          <w:sz w:val="20"/>
          <w:szCs w:val="20"/>
          <w:color w:val="auto"/>
        </w:rPr>
      </w:pPr>
      <w:r>
        <w:rPr>
          <w:rFonts w:ascii="Arial" w:cs="Arial" w:eastAsia="Arial" w:hAnsi="Arial"/>
          <w:sz w:val="16"/>
          <w:szCs w:val="16"/>
          <w:color w:val="auto"/>
        </w:rPr>
        <w:t>We have no current plans to pay dividends on our Series 1 common stock. Any future determination to pay dividends will be made at the discretion of our board of directors, subject to applicable laws. It will depend on a number of factors, including our financial condition, results of operations, capital requirements, contractual, legal, tax and regulatory restrictions, general business conditions, and other factors that our board of directors may deem relevant. In addition, our ability to pay cash dividends is restricted by the terms of our debt financing arrangements, and any future debt financing arrangement likely will contain terms restricting or limiting the amount of dividends that may be declared or paid on our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common stock. As a result, you may not receive any return on an investment in our Series 1 common stock unless you sell your Series 1 common stock for a price greater than that which you paid for it.</w:t>
      </w:r>
    </w:p>
    <w:p>
      <w:pPr>
        <w:spacing w:after="0" w:line="28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If our operating and financial performance in any given period does not meet the guidance that we provide to the public or the expectations of investment analysts, the market price of our Series 1 common stock may decline.</w:t>
      </w:r>
    </w:p>
    <w:p>
      <w:pPr>
        <w:spacing w:after="0" w:line="64" w:lineRule="exact"/>
        <w:rPr>
          <w:sz w:val="20"/>
          <w:szCs w:val="20"/>
          <w:color w:val="auto"/>
        </w:rPr>
      </w:pPr>
    </w:p>
    <w:p>
      <w:pPr>
        <w:ind w:right="20" w:firstLine="510"/>
        <w:spacing w:after="0" w:line="289" w:lineRule="auto"/>
        <w:rPr>
          <w:sz w:val="20"/>
          <w:szCs w:val="20"/>
          <w:color w:val="auto"/>
        </w:rPr>
      </w:pPr>
      <w:r>
        <w:rPr>
          <w:rFonts w:ascii="Arial" w:cs="Arial" w:eastAsia="Arial" w:hAnsi="Arial"/>
          <w:sz w:val="15"/>
          <w:szCs w:val="15"/>
          <w:color w:val="auto"/>
        </w:rPr>
        <w:t>We may, but are not obligated to, provide public guidance on our expected operating and financial results for future periods. Any such guidance will comprise forward-looking statements, subject to the risks and uncertainties described in this Annual Report on Form 10-K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 pandemic. If, in the future, our operating or financial results for a particular period do not meet any guidance we provide or the expectations of investment analysts, or if we reduce our guidance for future periods, the market price of our Series 1 common stock may decline as well. Even if we do issue public guidance, there can be no assurance that we will continue to do so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requirements of being a public company, including compliance with the reporting requirements of the Exchange Act, the requirements of the Sarbanes-Oxley</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Act and the requirements of Nasdaq, may strain our resources, increase our costs and distract management, and we may be unable to comply with these requirements in a timely or cost-effective manner.</w:t>
      </w:r>
    </w:p>
    <w:p>
      <w:pPr>
        <w:spacing w:after="0" w:line="68" w:lineRule="exact"/>
        <w:rPr>
          <w:sz w:val="20"/>
          <w:szCs w:val="20"/>
          <w:color w:val="auto"/>
        </w:rPr>
      </w:pPr>
    </w:p>
    <w:p>
      <w:pPr>
        <w:ind w:right="120" w:firstLine="510"/>
        <w:spacing w:after="0" w:line="311" w:lineRule="auto"/>
        <w:rPr>
          <w:sz w:val="20"/>
          <w:szCs w:val="20"/>
          <w:color w:val="auto"/>
        </w:rPr>
      </w:pPr>
      <w:r>
        <w:rPr>
          <w:rFonts w:ascii="Arial" w:cs="Arial" w:eastAsia="Arial" w:hAnsi="Arial"/>
          <w:sz w:val="14"/>
          <w:szCs w:val="14"/>
          <w:color w:val="auto"/>
        </w:rPr>
        <w:t>As a public company, we are subject to laws, regulations and requirements, certain corporate governance provisions of the Sarbanes-Oxley Act, related regulations of the SEC and the requirements of Nasdaq, which we were not required to comply as a private company. As a newly public company, complying with these statutes, regulations and requirements occupies a significant amount of time of our board of directors and management and significantly increases our costs and expenses. For example, we have had to institute a more comprehensive compliance function, comply with rules promulgated by Nasdaq, prepare and distribute periodic public reports in compliance with our obligations under the federal securities laws, establish new internal policies, such as those relating to insider trading. We have also had to retain and rely on outside counsel and accountants to a greater degree in these activities. In addition, being subject to these rules and regulations has made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275"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b w:val="1"/>
          <w:bCs w:val="1"/>
          <w:i w:val="1"/>
          <w:iCs w:val="1"/>
          <w:color w:val="auto"/>
        </w:rPr>
        <w:t>We are an “emerging growth company.” The reduced public company reporting requirements applicable to emerging growth companies may make our Series 1 common stock less attractive to investors.</w:t>
      </w:r>
    </w:p>
    <w:p>
      <w:pPr>
        <w:spacing w:after="0" w:line="64" w:lineRule="exact"/>
        <w:rPr>
          <w:sz w:val="20"/>
          <w:szCs w:val="20"/>
          <w:color w:val="auto"/>
        </w:rPr>
      </w:pPr>
    </w:p>
    <w:p>
      <w:pPr>
        <w:ind w:right="280" w:firstLine="510"/>
        <w:spacing w:after="0" w:line="304" w:lineRule="auto"/>
        <w:rPr>
          <w:sz w:val="20"/>
          <w:szCs w:val="20"/>
          <w:color w:val="auto"/>
        </w:rPr>
      </w:pPr>
      <w:r>
        <w:rPr>
          <w:rFonts w:ascii="Arial" w:cs="Arial" w:eastAsia="Arial" w:hAnsi="Arial"/>
          <w:sz w:val="14"/>
          <w:szCs w:val="14"/>
          <w:color w:val="auto"/>
        </w:rPr>
        <w:t>We qualify as an “emerging growth company,” as defined in the JOBS Act. While we remain an emerging growth company, we are permitted and plan to rely on exemptions from certain disclosure requirements that are applicable to other public companies that are not emerging growth companies. These provisions include:</w:t>
      </w:r>
    </w:p>
    <w:p>
      <w:pPr>
        <w:spacing w:after="0" w:line="1" w:lineRule="exact"/>
        <w:rPr>
          <w:sz w:val="20"/>
          <w:szCs w:val="20"/>
          <w:color w:val="auto"/>
        </w:rPr>
      </w:pPr>
    </w:p>
    <w:p>
      <w:pPr>
        <w:ind w:right="20" w:firstLine="8"/>
        <w:spacing w:after="0" w:line="310" w:lineRule="auto"/>
        <w:tabs>
          <w:tab w:leader="none" w:pos="229"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presenting only two years of audited financial statements, (2) presenting only two years of related selected financial data and “Management’s Discussion and Analysis of Financial Condition and Results of Operations” disclosure, (3) an exemption from compliance with the auditor attestation requirement in the assessment of our internal control over financial reporting pursuant to Section 404 of Sarbanes-Oxley, (4) not being required to comply with any requirement that may be adopted by the Public Company Accounting Oversight Board regarding mandatory audit firm rotation or a supplement to the auditor’s report providing additional information about the audit and the financial statements, (5) reduced disclosure obligations regarding executive compensation arrangements in our periodic reports, registration statements, and proxy statements, and (6)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 Additionally, management has elected to present three years of audited financial statements and selected financial data.</w:t>
      </w:r>
    </w:p>
    <w:p>
      <w:pPr>
        <w:spacing w:after="0" w:line="169" w:lineRule="exact"/>
        <w:rPr>
          <w:sz w:val="20"/>
          <w:szCs w:val="20"/>
          <w:color w:val="auto"/>
        </w:rPr>
      </w:pPr>
    </w:p>
    <w:p>
      <w:pPr>
        <w:ind w:right="60" w:firstLine="510"/>
        <w:spacing w:after="0" w:line="278" w:lineRule="auto"/>
        <w:rPr>
          <w:sz w:val="20"/>
          <w:szCs w:val="20"/>
          <w:color w:val="auto"/>
        </w:rPr>
      </w:pPr>
      <w:r>
        <w:rPr>
          <w:rFonts w:ascii="Arial" w:cs="Arial" w:eastAsia="Arial" w:hAnsi="Arial"/>
          <w:sz w:val="16"/>
          <w:szCs w:val="16"/>
          <w:color w:val="auto"/>
        </w:rPr>
        <w:t>We cannot predict whether investors will find our Series 1 common stock less attractive if we rely on these exemptions. If some investors find our Series 1 common stock less attractive as a result, there may be a less active trading market for our Series 1 common stock. The market price of our Series 1 common stock may be more volatile.</w:t>
      </w:r>
    </w:p>
    <w:p>
      <w:pPr>
        <w:spacing w:after="0" w:line="184" w:lineRule="exact"/>
        <w:rPr>
          <w:sz w:val="20"/>
          <w:szCs w:val="20"/>
          <w:color w:val="auto"/>
        </w:rPr>
      </w:pPr>
    </w:p>
    <w:p>
      <w:pPr>
        <w:ind w:right="440" w:firstLine="510"/>
        <w:spacing w:after="0" w:line="304" w:lineRule="auto"/>
        <w:rPr>
          <w:sz w:val="20"/>
          <w:szCs w:val="20"/>
          <w:color w:val="auto"/>
        </w:rPr>
      </w:pPr>
      <w:r>
        <w:rPr>
          <w:rFonts w:ascii="Arial" w:cs="Arial" w:eastAsia="Arial" w:hAnsi="Arial"/>
          <w:sz w:val="14"/>
          <w:szCs w:val="14"/>
          <w:color w:val="auto"/>
        </w:rPr>
        <w:t>We will remain an emerging growth company until the earliest of: (1) December 31, 2025, (2) the first fiscal year after our annual gross revenue exceed $1.07 billion, (3) the date on which we have, during the immediately preceding three-year period, issued more than $1.0 billion in non-convertible debt securities, and</w:t>
      </w:r>
    </w:p>
    <w:p>
      <w:pPr>
        <w:spacing w:after="0" w:line="1" w:lineRule="exact"/>
        <w:rPr>
          <w:sz w:val="20"/>
          <w:szCs w:val="20"/>
          <w:color w:val="auto"/>
        </w:rPr>
      </w:pPr>
    </w:p>
    <w:p>
      <w:pPr>
        <w:ind w:right="240" w:firstLine="8"/>
        <w:spacing w:after="0" w:line="288" w:lineRule="auto"/>
        <w:tabs>
          <w:tab w:leader="none" w:pos="2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end of any fiscal year in which the market value of our common stock held by non-affiliates exceeds $700 million as of the end of the second quarter of that fiscal year.</w:t>
      </w:r>
    </w:p>
    <w:p>
      <w:pPr>
        <w:spacing w:after="0" w:line="284"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Series 1 common stock may decline.</w:t>
      </w:r>
    </w:p>
    <w:p>
      <w:pPr>
        <w:spacing w:after="0" w:line="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We are required to maintain internal controls over financial reporting and to report any material weaknesses in such internal controls. In addition, beginning with our second annual report on Form 10-K, we will be required to furnish a report by management on the effectiveness of our internal control over financial reporting, pursuant to Section 404 of Sarbanes-Oxley. The process of designing, implementing, and testing the internal control over financial reporting required to comply with this obligation is time-consuming, costly, and complicated.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40" w:firstLine="510"/>
        <w:spacing w:after="0" w:line="288" w:lineRule="auto"/>
        <w:rPr>
          <w:sz w:val="20"/>
          <w:szCs w:val="20"/>
          <w:color w:val="auto"/>
        </w:rPr>
      </w:pPr>
      <w:r>
        <w:rPr>
          <w:rFonts w:ascii="Arial" w:cs="Arial" w:eastAsia="Arial" w:hAnsi="Arial"/>
          <w:sz w:val="15"/>
          <w:szCs w:val="15"/>
          <w:color w:val="auto"/>
        </w:rPr>
        <w:t>If we identify material weaknesses in our internal control over financial reporting, if we are unable to comply with the requirements of Section 404 of Sarbanes-Oxley in a timely manner, or if we are unable to assert that our internal control over financial reporting is effective,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and the market price of our Series 1 common stock could decline. We could become subject to investigations by the stock exchange on which our securities are listed, the SEC or other regulatory authorities, which could require additional financial and management resources.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interest rates may cause the market price of our Series 1 common stock to decline.</w:t>
      </w:r>
    </w:p>
    <w:p>
      <w:pPr>
        <w:spacing w:after="0" w:line="127"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Interest rates are at or near record lows. Increases in interest rates may cause a corresponding decline in demand for equity investments. Any such increase in interest rates or reduction in demand for our Series 1 common stock resulting from other relatively more attractive investment opportunities may cause the market price of our Series 1 common stock to decline.</w:t>
      </w:r>
    </w:p>
    <w:p>
      <w:pPr>
        <w:spacing w:after="0" w:line="2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negative reports, the market price of our Series 1 common stock could decline.</w:t>
      </w:r>
    </w:p>
    <w:p>
      <w:pPr>
        <w:spacing w:after="0" w:line="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The trading market for our Series 1 common stock will be influenced by the research and reports that industry or securities analysts publish about us or our business. If regular publication of research reports ceases, we could lose visibility in the financial markets, which in turn could cause the market price or trading volume of our Series 1 common stock to decline. Moreover, if one or more of the analysts who cover us downgrades our Series 1 common stock or if our reporting results do not meet their expectations, the market price of our Series 1 common stock could decline.</w:t>
      </w:r>
    </w:p>
    <w:p>
      <w:pPr>
        <w:spacing w:after="0" w:line="29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You will be diluted by the future issuance of common stock, preferred stock or securities convertible into common or preferred stock, in connection with our incentive plans, acquisitions, capital raises or otherwise.</w:t>
      </w:r>
    </w:p>
    <w:p>
      <w:pPr>
        <w:spacing w:after="0" w:line="64" w:lineRule="exact"/>
        <w:rPr>
          <w:sz w:val="20"/>
          <w:szCs w:val="20"/>
          <w:color w:val="auto"/>
        </w:rPr>
      </w:pPr>
    </w:p>
    <w:p>
      <w:pPr>
        <w:ind w:right="160" w:firstLine="510"/>
        <w:spacing w:after="0" w:line="335" w:lineRule="auto"/>
        <w:rPr>
          <w:sz w:val="20"/>
          <w:szCs w:val="20"/>
          <w:color w:val="auto"/>
        </w:rPr>
      </w:pPr>
      <w:r>
        <w:rPr>
          <w:rFonts w:ascii="Arial" w:cs="Arial" w:eastAsia="Arial" w:hAnsi="Arial"/>
          <w:sz w:val="14"/>
          <w:szCs w:val="14"/>
          <w:color w:val="auto"/>
        </w:rPr>
        <w:t>As of December 31, 2020, we had 65,405,393 shares of Series 1 common stock and 4,106,498 shares of Series 2 common stock outstanding. Our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49" w:lineRule="exact"/>
        <w:rPr>
          <w:sz w:val="20"/>
          <w:szCs w:val="20"/>
          <w:color w:val="auto"/>
        </w:rPr>
      </w:pPr>
    </w:p>
    <w:p>
      <w:pPr>
        <w:ind w:right="20" w:firstLine="510"/>
        <w:spacing w:after="0" w:line="286" w:lineRule="auto"/>
        <w:rPr>
          <w:sz w:val="20"/>
          <w:szCs w:val="20"/>
          <w:color w:val="auto"/>
        </w:rPr>
      </w:pPr>
      <w:r>
        <w:rPr>
          <w:rFonts w:ascii="Arial" w:cs="Arial" w:eastAsia="Arial" w:hAnsi="Arial"/>
          <w:sz w:val="15"/>
          <w:szCs w:val="15"/>
          <w:color w:val="auto"/>
        </w:rPr>
        <w:t>In the future, we expect to obtain financing or to further increase our capital resources by issuing additional shares of our capital stock or offering debt or other equity securities, including senior or subordinated notes, or debt securities convertible into equity or shares of preferred stock. Issuing additional shares of our capital stock or other equity securities or securities convertible into equity may dilute the economic and voting rights of our existing stockholders or reduce the market price of our Series 1 common stock or both. Debt securities convertible into equity could be subject to adjustments in the conversion ratio pursuant to which certain events may increase the number of equity securities issuable upon conversion. Shares of preferred stock, if issued, could have a preference with respect to liquidating distributions or a preference with respect to dividend payments that could limit our ability to pay dividends to the holders of our Series 1 common stock. Additional shares of Series 2 common stock, if issued, may further dilute the economic rights of our Series 1 common stock. Holders of our Series 1 common stock are not entitled to receive economic consideration per share for their shares in excess of that payable to the holders of the then outstanding shares of Series 2 common stock in the event of a merger, consolidation or tender or exchange offer. Our decision to issue securities in any future offering will depend on market conditions and other factors beyond our control, which may adversely affect the amount, timing, or nature of our future offerings. As a result, holders of our Series 1 common stock bear the risk that our future offerings may reduce the market price of our Series 1 common stock and dilute their stockholdings in us.</w:t>
      </w:r>
    </w:p>
    <w:p>
      <w:pPr>
        <w:spacing w:after="0" w:line="183"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In addition, holders of our Series 1 common stock may be subject to further dilution upon issuance of the shares reserved under our 2020 Plan and Employee Stock Purchase Plan.</w:t>
      </w:r>
    </w:p>
    <w:p>
      <w:pPr>
        <w:spacing w:after="0" w:line="2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If we, our officers, directors, or the investors prior to our initial public offering (“IPO”), or pre-IPO investors, sell additional shares of our Series 1 common stock, the market price of our Series 1 common stock could decline.</w:t>
      </w:r>
    </w:p>
    <w:p>
      <w:pPr>
        <w:spacing w:after="0" w:line="64" w:lineRule="exact"/>
        <w:rPr>
          <w:sz w:val="20"/>
          <w:szCs w:val="20"/>
          <w:color w:val="auto"/>
        </w:rPr>
      </w:pPr>
    </w:p>
    <w:p>
      <w:pPr>
        <w:ind w:right="20" w:firstLine="510"/>
        <w:spacing w:after="0" w:line="267" w:lineRule="auto"/>
        <w:rPr>
          <w:sz w:val="20"/>
          <w:szCs w:val="20"/>
          <w:color w:val="auto"/>
        </w:rPr>
      </w:pPr>
      <w:r>
        <w:rPr>
          <w:rFonts w:ascii="Arial" w:cs="Arial" w:eastAsia="Arial" w:hAnsi="Arial"/>
          <w:sz w:val="16"/>
          <w:szCs w:val="16"/>
          <w:color w:val="auto"/>
        </w:rPr>
        <w:t>The sale of substantial amounts of shares of our Series 1 common stock in the public market, or the perception that such sales could occur, could harm the prevailing market price of shares of our Series 1 common stock. These sales, or the possibility that these sales may occur, might make it more difficult for us to sell equity securities in the future at a time and at a price that we deem appropriate. All of the outstanding shares of our Series 1 common stock, are freely tradable without restriction or further registration under the Securities Act, except that any shares held by our affiliates, as that term is defined under Rule 144 of the Securities Act, may be sold only in compliance with volume, manner of sale, and other limitations under Rule 144. In addition, we have outstanding stock options and restricted stock units that could result in the issuance of additional share of Series 1 common stock under our 2020 Plan and we expect to grant future equity awards to employees, directors and consultants under our 2020 Plan and Employee Stock Purchase Plan. Subject to the satisfaction of applicable vesting requirements and the limitations under Rule 144 that are applicable to shares held by our affiliates, the shares issued upon exercise of outstanding stock options or settlement of outstanding RSUs will be available for immediate resale in the open market.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360" w:firstLine="510"/>
        <w:spacing w:after="0" w:line="305" w:lineRule="auto"/>
        <w:rPr>
          <w:sz w:val="20"/>
          <w:szCs w:val="20"/>
          <w:color w:val="auto"/>
        </w:rPr>
      </w:pPr>
      <w:r>
        <w:rPr>
          <w:rFonts w:ascii="Arial" w:cs="Arial" w:eastAsia="Arial" w:hAnsi="Arial"/>
          <w:sz w:val="15"/>
          <w:szCs w:val="15"/>
          <w:color w:val="auto"/>
        </w:rPr>
        <w:t>Certain pre-IPO investors have the right, subject to certain exceptions and conditions, to require us to register their shares of Series 1 common stock under the Securities Act, and they have the right to participate in future registrations of securities by us. Registration of any of these outstanding shares of Series 1 common stock would result in such shares becoming freely tradable without compliance with Rule 144 upon effectiveness of the registration statement.</w:t>
      </w:r>
    </w:p>
    <w:p>
      <w:pPr>
        <w:spacing w:after="0" w:line="166" w:lineRule="exact"/>
        <w:rPr>
          <w:sz w:val="20"/>
          <w:szCs w:val="20"/>
          <w:color w:val="auto"/>
        </w:rPr>
      </w:pPr>
    </w:p>
    <w:p>
      <w:pPr>
        <w:ind w:right="100" w:firstLine="510"/>
        <w:spacing w:after="0" w:line="278" w:lineRule="auto"/>
        <w:rPr>
          <w:sz w:val="20"/>
          <w:szCs w:val="20"/>
          <w:color w:val="auto"/>
        </w:rPr>
      </w:pPr>
      <w:r>
        <w:rPr>
          <w:rFonts w:ascii="Arial" w:cs="Arial" w:eastAsia="Arial" w:hAnsi="Arial"/>
          <w:sz w:val="16"/>
          <w:szCs w:val="16"/>
          <w:color w:val="auto"/>
        </w:rPr>
        <w:t>Sales of substantial amounts of our Series 1 common stock in the public market, or the perception that these sales could occur, could cause the market price of our Series 1 common stock to decline. These factors could also make it more difficult for us to raise additional funds through future offerings of our shares of common stock or other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3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64"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on a timely basis. If we are unable to develop and sell new technology, features, and functionality for our platform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90"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Our platform must also integrate with a variety of network, hardware, mobile, and software platforms and technologies. We need to continuously modify and enhance our platform to adapt to changes and innovation in these technologies. If businesses widely adopt new ecommerce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30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64"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The market for ecommerce solutions is relatively new and will experience changes over time. Ecommerce market estimates and growth forecasts are uncertain and based on assumptions and estimates that may be inaccurate. Our addressable market depends on a number of factors, including businesses’ desire to differentiate themselves through ecommerce, partnership opportunities, changes in the competitive landscape, technological changes, data security or privacy concerns, customer budgetary constraints, changes in business practices, changes in the regulatory environment, and changes in economic conditions. Our estimates and forecasts relating to the size and expected growth of our market may prove to be inaccurate and our ability to produce accurate estimates and forecasts may be impacted by the economic uncertainty associated with the COVID-19 pandemic. Even if the market in which we compete meets the size estimates and growth rates we forecast, our business could fail to grow at similar rates, if at all.</w:t>
      </w:r>
    </w:p>
    <w:p>
      <w:pPr>
        <w:spacing w:after="0" w:line="29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64"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We may continue to experience rapid growth and organizational change, which may continue to place significant demands on our management and our operational and financial resources. We have also experienced growth in the number of customers, the amount of transactions we process,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9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w:t>
      </w:r>
    </w:p>
    <w:p>
      <w:pPr>
        <w:spacing w:after="0" w:line="172"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our platform, declines in quality or customer satisfaction, increases in costs, difficulties in introducing new features, or other operational difficulties. Any of these could adversely impact our business performance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anticipate that our operations will continue to increase in complexity as we grow, which will create management challenges.</w:t>
      </w:r>
    </w:p>
    <w:p>
      <w:pPr>
        <w:spacing w:after="0" w:line="12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6"/>
          <w:szCs w:val="16"/>
          <w:color w:val="auto"/>
        </w:rPr>
        <w:t>Our business has experienced strong growth and is complex. We expect this growth to continue and for our operations to become increasingly complex. To manage this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extraordinary contract requirements or individually negotiated provisions as the number of transactions continues to grow. Our systems and processes may not prevent or detect all errors, omissions, or fraud. We may have difficulty managing improvements to our systems, processes and controls or in connection with third-party software. This could impair our ability to provide our platform to our customers, causing us to lose customers, limiting our platform to less significant updates, or increasing our technical support costs. If we are unable to manage this complexity, our business, operations, operating results and financial condition may suffer.</w:t>
      </w:r>
    </w:p>
    <w:p>
      <w:pPr>
        <w:spacing w:after="0" w:line="172" w:lineRule="exact"/>
        <w:rPr>
          <w:sz w:val="20"/>
          <w:szCs w:val="20"/>
          <w:color w:val="auto"/>
        </w:rPr>
      </w:pPr>
    </w:p>
    <w:p>
      <w:pPr>
        <w:ind w:right="20" w:firstLine="510"/>
        <w:spacing w:after="0" w:line="318" w:lineRule="auto"/>
        <w:rPr>
          <w:sz w:val="20"/>
          <w:szCs w:val="20"/>
          <w:color w:val="auto"/>
        </w:rPr>
      </w:pPr>
      <w:r>
        <w:rPr>
          <w:rFonts w:ascii="Arial" w:cs="Arial" w:eastAsia="Arial" w:hAnsi="Arial"/>
          <w:sz w:val="14"/>
          <w:szCs w:val="14"/>
          <w:color w:val="auto"/>
        </w:rPr>
        <w:t>As our customer base continues to grow, we will need to expand our services and other personnel, and maintain and enhance our partnerships, to provide a high level of customer service. Extended stay-at-home, business closure, and other restrictive orders may impact our ability to identify, hire, and train new personnel.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and customer service could suffer, and we may not be able to adequately address competitive challenges. These factors could impair our ability to attract and retain customers and expand our customers’ use of our platform.</w:t>
      </w:r>
    </w:p>
    <w:p>
      <w:pPr>
        <w:spacing w:after="0" w:line="27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key employees or an inability to attract and retain highly skilled employees could adversely affect our business.</w:t>
      </w:r>
    </w:p>
    <w:p>
      <w:pPr>
        <w:spacing w:after="0" w:line="64"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Our success depends largely upon the continued services of our executive officers. We rely on our leadership team for research and development, marketing, sales, services, and general and administrative functions, and on mission-critical individual contributors. From time to time, our executive management team may change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(including any limitation on the performance of their duties or short term or long-term absences as a result of COVID-19) could have a serious adverse effect on our business.</w:t>
      </w:r>
    </w:p>
    <w:p>
      <w:pPr>
        <w:spacing w:after="0" w:line="194" w:lineRule="exact"/>
        <w:rPr>
          <w:sz w:val="20"/>
          <w:szCs w:val="20"/>
          <w:color w:val="auto"/>
        </w:rPr>
      </w:pPr>
    </w:p>
    <w:p>
      <w:pPr>
        <w:ind w:firstLine="510"/>
        <w:spacing w:after="0" w:line="287" w:lineRule="auto"/>
        <w:rPr>
          <w:sz w:val="20"/>
          <w:szCs w:val="20"/>
          <w:color w:val="auto"/>
        </w:rPr>
      </w:pPr>
      <w:r>
        <w:rPr>
          <w:rFonts w:ascii="Arial" w:cs="Arial" w:eastAsia="Arial" w:hAnsi="Arial"/>
          <w:sz w:val="15"/>
          <w:szCs w:val="15"/>
          <w:color w:val="auto"/>
        </w:rPr>
        <w:t>To execute our growth plan, we must attract and retain highly qualified personnel. Competition for these personnel is intense, especially for experienced software engineers and senior sales executives.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Extended stay-at-home, business closure, and other restrictive orders may impact our ability to identify, hire, and train new personnel. Many of the companies with which we compete for experienced personnel have greater resources than we have. If we hire employees from competitors or other companies, their former employers may attempt to assert that these employees or BigCommerce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64" w:lineRule="exact"/>
        <w:rPr>
          <w:sz w:val="20"/>
          <w:szCs w:val="20"/>
          <w:color w:val="auto"/>
        </w:rPr>
      </w:pPr>
    </w:p>
    <w:p>
      <w:pPr>
        <w:ind w:right="60" w:firstLine="510"/>
        <w:spacing w:after="0" w:line="271" w:lineRule="auto"/>
        <w:rPr>
          <w:sz w:val="20"/>
          <w:szCs w:val="20"/>
          <w:color w:val="auto"/>
        </w:rPr>
      </w:pPr>
      <w:r>
        <w:rPr>
          <w:rFonts w:ascii="Arial" w:cs="Arial" w:eastAsia="Arial" w:hAnsi="Arial"/>
          <w:sz w:val="16"/>
          <w:szCs w:val="16"/>
          <w:color w:val="auto"/>
        </w:rPr>
        <w:t>We believe a critical component to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If we are required to maintain work-from-home arrangements for a significant period of time, it may impact our ability to preserve our corporate culture. Any failure to preserve our culture could negatively affect our future success, including our ability to retain and recruit personnel, and to effectively focus on and pursue our corporate objectives.</w:t>
      </w:r>
    </w:p>
    <w:p>
      <w:pPr>
        <w:spacing w:after="0" w:line="298"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b w:val="1"/>
          <w:bCs w:val="1"/>
          <w:i w:val="1"/>
          <w:iCs w:val="1"/>
          <w:color w:val="auto"/>
        </w:rPr>
        <w:t>Unfavorable conditions in our industry or the global economy, or reductions in IT spending, could limit our ability to grow our business and negatively affect our results of operations.</w:t>
      </w:r>
    </w:p>
    <w:p>
      <w:pPr>
        <w:spacing w:after="0" w:line="6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5"/>
          <w:szCs w:val="15"/>
          <w:color w:val="auto"/>
        </w:rPr>
        <w:t>Our results of operations may vary based on the impact of changes in our industry or the global economy on us or our customers. The revenue growth and potential profitability of our business depend on demand for our platform. Current or future economic uncertainties or downturns could adversely affect our business and results of operations. Negative conditions in the global economy or individual markets, including changes in gross domestic product growth, financial and credit market fluctuations, political turmoil, natural catastrophes, warfare and terrorist attacks on the United States, Europe, Australia, the Asia Pacific region or elsewhere, could cause a decrease in business investments, including spending on IT and negatively affect our business. In particular, given our investment in our development capabilities in Ukraine, political turmoil, warfare, or terrorist attacks in Ukraine could negatively affect our business.</w:t>
      </w:r>
    </w:p>
    <w:p>
      <w:pPr>
        <w:spacing w:after="0" w:line="176"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To the extent our platform is perceived by customers and potential customers as costly, or too difficult to launch or migrate to, it would negatively affect our growth. Our revenue may be disproportionately affected by delays or reductions in general IT spending. Competitors, many of whom are larger and more established than we are, may respond to market conditions by lowering prices and attempting to lure away our customers. In addition, consolidation in certain industries may result in reduced overall spending on our platform.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Natural catastrophic events and man-made problems such as power disruptions, computer viruses, global pandemics, data security breaches and terrorism may disrupt our business.</w:t>
      </w:r>
    </w:p>
    <w:p>
      <w:pPr>
        <w:spacing w:after="0" w:line="64" w:lineRule="exact"/>
        <w:rPr>
          <w:sz w:val="20"/>
          <w:szCs w:val="20"/>
          <w:color w:val="auto"/>
        </w:rPr>
      </w:pPr>
    </w:p>
    <w:p>
      <w:pPr>
        <w:ind w:right="300" w:firstLine="510"/>
        <w:spacing w:after="0" w:line="293" w:lineRule="auto"/>
        <w:rPr>
          <w:sz w:val="20"/>
          <w:szCs w:val="20"/>
          <w:color w:val="auto"/>
        </w:rPr>
      </w:pPr>
      <w:r>
        <w:rPr>
          <w:rFonts w:ascii="Arial" w:cs="Arial" w:eastAsia="Arial" w:hAnsi="Arial"/>
          <w:sz w:val="15"/>
          <w:szCs w:val="15"/>
          <w:color w:val="auto"/>
        </w:rPr>
        <w:t>We rely heavily on our network infrastructure and IT systems for our business operations. An online attack, damage as a result of civil unrest, earthquake, fire, terrorist attack, power loss, global pandemics (such as the COVID-19 pandemic), telecommunications failure, or other similar catastrophic event could cause system interruptions, delays in accessing our service, reputational harm, and loss of critical data. Such events could prevent us from providing our platform to our customers. A catastrophic event that results in the destruction or disruption of our data centers, or our network infrastructure or IT systems, including any errors, defects, or failures in third-party hardware, could affect our ability to conduct normal business operations, and adversely affect our operating results.</w:t>
      </w:r>
    </w:p>
    <w:p>
      <w:pPr>
        <w:spacing w:after="0" w:line="176" w:lineRule="exact"/>
        <w:rPr>
          <w:sz w:val="20"/>
          <w:szCs w:val="20"/>
          <w:color w:val="auto"/>
        </w:rPr>
      </w:pPr>
    </w:p>
    <w:p>
      <w:pPr>
        <w:ind w:right="140" w:firstLine="510"/>
        <w:spacing w:after="0" w:line="271" w:lineRule="auto"/>
        <w:rPr>
          <w:sz w:val="20"/>
          <w:szCs w:val="20"/>
          <w:color w:val="auto"/>
        </w:rPr>
      </w:pPr>
      <w:r>
        <w:rPr>
          <w:rFonts w:ascii="Arial" w:cs="Arial" w:eastAsia="Arial" w:hAnsi="Arial"/>
          <w:sz w:val="16"/>
          <w:szCs w:val="16"/>
          <w:color w:val="auto"/>
        </w:rPr>
        <w:t>In addition, as computer malware, viruses, computer hacking, fraudulent use attempts, and phishing attacks have become more prevalent, we face increased risk from these activities. These activities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 Many companies that provide cloud-based services have reported a significant increase in cyberattack activity since the beginning of the COVID-19 pandemic.</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Indemnity provisions in various agreements potentially expose us to substantial liability for intellectual property infringement, data protection, and other losses.</w:t>
      </w:r>
    </w:p>
    <w:p>
      <w:pPr>
        <w:spacing w:after="0" w:line="150" w:lineRule="exact"/>
        <w:rPr>
          <w:sz w:val="20"/>
          <w:szCs w:val="20"/>
          <w:color w:val="auto"/>
        </w:rPr>
      </w:pPr>
    </w:p>
    <w:p>
      <w:pPr>
        <w:ind w:right="60" w:firstLine="510"/>
        <w:spacing w:after="0" w:line="313" w:lineRule="auto"/>
        <w:rPr>
          <w:sz w:val="20"/>
          <w:szCs w:val="20"/>
          <w:color w:val="auto"/>
        </w:rPr>
      </w:pPr>
      <w:r>
        <w:rPr>
          <w:rFonts w:ascii="Arial" w:cs="Arial" w:eastAsia="Arial" w:hAnsi="Arial"/>
          <w:sz w:val="14"/>
          <w:szCs w:val="14"/>
          <w:color w:val="auto"/>
        </w:rPr>
        <w:t>Some of our agreements with customers and other third parties include indemnification provisions under which we agree to indemnify them for losses suffered or incurred as a result of claims of intellectual property infringement, data protection, damages to property or persons, or other liabilities relating to or arising from our platform, services or other contractual obligations. Some of these indemnity agreements provide for uncapped liability for which we would be responsible, and some indemnity provisions survive termination or expiration of the applicable agreement. Large indemnity payments could harm our business, results of operations and financial condition. Although we normally contractually limit our liability with respect to such obligations, we may still incur substantial liability related to them and we may be required to cease use of certain functions of our platform or services as a result of any such claims. Any dispute with a customer with respect to such obligations could have adverse effects on our relationship with that customer, other existing customers, and new customers. Such a dispute could harm our business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may subject us to potential adverse tax consequences.</w:t>
      </w:r>
    </w:p>
    <w:p>
      <w:pPr>
        <w:spacing w:after="0" w:line="127" w:lineRule="exact"/>
        <w:rPr>
          <w:sz w:val="20"/>
          <w:szCs w:val="20"/>
          <w:color w:val="auto"/>
        </w:rPr>
      </w:pPr>
    </w:p>
    <w:p>
      <w:pPr>
        <w:ind w:firstLine="510"/>
        <w:spacing w:after="0" w:line="311" w:lineRule="auto"/>
        <w:rPr>
          <w:sz w:val="20"/>
          <w:szCs w:val="20"/>
          <w:color w:val="auto"/>
        </w:rPr>
      </w:pPr>
      <w:r>
        <w:rPr>
          <w:rFonts w:ascii="Arial" w:cs="Arial" w:eastAsia="Arial" w:hAnsi="Arial"/>
          <w:sz w:val="14"/>
          <w:szCs w:val="14"/>
          <w:color w:val="auto"/>
        </w:rPr>
        <w:t>We are expanding our international operations and staff to better support our growth into international markets. Our corporate structure and associated transfer pricing policies contemplate future growth into the international markets, and consider the functions, risks, and assets of the various entities involved in the intercompany transactions. The amount of taxes we pay in different jurisdictions may depend: on (1) the application of the tax laws of the various jurisdictions, including the United States, to our international business activities, (2) changes in tax rates, (3) new or revised tax laws or interpretations of existing tax laws and policies, and (4) our ability to operate our business in a manner consistent with our corporate structure and intercompany arrangements. Taxing authorities may challenge the pricing methodologies of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This could result in one-time tax charges, higher effective tax rates, reduced cash flows, and lower overall profitability of our operations. Our financial statements could fail to reflect adequate reserves to cover such a contingency.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TCJA was enacted on December 22, 2017 and significantly reformed the Code. The TCJA, among other things: (1) includes changes to U.S. federal tax rates,</w:t>
      </w:r>
    </w:p>
    <w:p>
      <w:pPr>
        <w:spacing w:after="0" w:line="45" w:lineRule="exact"/>
        <w:rPr>
          <w:sz w:val="20"/>
          <w:szCs w:val="20"/>
          <w:color w:val="auto"/>
        </w:rPr>
      </w:pPr>
    </w:p>
    <w:p>
      <w:pPr>
        <w:ind w:firstLine="8"/>
        <w:spacing w:after="0" w:line="292" w:lineRule="auto"/>
        <w:tabs>
          <w:tab w:leader="none" w:pos="229" w:val="left"/>
        </w:tabs>
        <w:numPr>
          <w:ilvl w:val="0"/>
          <w:numId w:val="15"/>
        </w:numPr>
        <w:rPr>
          <w:rFonts w:ascii="Arial" w:cs="Arial" w:eastAsia="Arial" w:hAnsi="Arial"/>
          <w:sz w:val="15"/>
          <w:szCs w:val="15"/>
          <w:color w:val="auto"/>
        </w:rPr>
      </w:pPr>
      <w:r>
        <w:rPr>
          <w:rFonts w:ascii="Arial" w:cs="Arial" w:eastAsia="Arial" w:hAnsi="Arial"/>
          <w:sz w:val="15"/>
          <w:szCs w:val="15"/>
          <w:color w:val="auto"/>
        </w:rPr>
        <w:t>imposes additional limitations on the deductibility of interest, (3) has both positive and negative changes to the utilization of future NOL carryforwards as described above, (4) allows for the expensing of certain capital expenditures, and (5) puts into effect the migration from a “worldwide” system of taxation to a partially territorial system. Our net deferred tax assets and liabilities and valuation allowance was revalued at the newly enacted U.S. corporate rate. We continue to await guidance from the tax authorities on some of the changes that will affect us. Such future guidance could result in significant one-time charges in the current or future taxable years and could increase our future U.S. tax expense. The impact of this tax reform on holders of our Series 1 common stock is uncertain and could be adverse.</w:t>
      </w:r>
    </w:p>
    <w:p>
      <w:pPr>
        <w:spacing w:after="0" w:line="28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We are subject to governmental export and import controls that could impair our ability to compete in international markets and subject us to liability if we violate the controls.</w:t>
      </w:r>
    </w:p>
    <w:p>
      <w:pPr>
        <w:spacing w:after="0" w:line="64" w:lineRule="exact"/>
        <w:rPr>
          <w:sz w:val="20"/>
          <w:szCs w:val="20"/>
          <w:color w:val="auto"/>
        </w:rPr>
      </w:pPr>
    </w:p>
    <w:p>
      <w:pPr>
        <w:ind w:right="80" w:firstLine="510"/>
        <w:spacing w:after="0" w:line="335" w:lineRule="auto"/>
        <w:rPr>
          <w:sz w:val="20"/>
          <w:szCs w:val="20"/>
          <w:color w:val="auto"/>
        </w:rPr>
      </w:pPr>
      <w:r>
        <w:rPr>
          <w:rFonts w:ascii="Arial" w:cs="Arial" w:eastAsia="Arial" w:hAnsi="Arial"/>
          <w:sz w:val="14"/>
          <w:szCs w:val="14"/>
          <w:color w:val="auto"/>
        </w:rPr>
        <w:t>Our platform is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49"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Furthermore, our activities are subject to U.S. economic sanctions laws and regulations that prohibit the shipment of certain products and services to countries, governments, and persons targeted by U.S. embargoes or sanctions. The current administration has been critical of existing trade agreements and may impose more stringent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platform from being exported in violation of these laws, including obtaining authorizations for our platform, performing geolocation IP blocking and screenings against U.S. and other lists of restricted and prohibited persons, we cannot guarantee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w:t>
      </w:r>
    </w:p>
    <w:p>
      <w:pPr>
        <w:spacing w:after="0" w:line="172" w:lineRule="exact"/>
        <w:rPr>
          <w:sz w:val="20"/>
          <w:szCs w:val="20"/>
          <w:color w:val="auto"/>
        </w:rPr>
      </w:pPr>
    </w:p>
    <w:p>
      <w:pPr>
        <w:ind w:right="20" w:firstLine="510"/>
        <w:spacing w:after="0" w:line="278" w:lineRule="auto"/>
        <w:rPr>
          <w:sz w:val="20"/>
          <w:szCs w:val="20"/>
          <w:color w:val="auto"/>
        </w:rPr>
      </w:pPr>
      <w:r>
        <w:rPr>
          <w:rFonts w:ascii="Arial" w:cs="Arial" w:eastAsia="Arial" w:hAnsi="Arial"/>
          <w:sz w:val="16"/>
          <w:szCs w:val="16"/>
          <w:color w:val="auto"/>
        </w:rPr>
        <w:t>If our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into our strategic partner agreements; however, no assurance can be given that our partners will comply with such requirements.</w:t>
      </w:r>
    </w:p>
    <w:p>
      <w:pPr>
        <w:spacing w:after="0" w:line="184" w:lineRule="exact"/>
        <w:rPr>
          <w:sz w:val="20"/>
          <w:szCs w:val="20"/>
          <w:color w:val="auto"/>
        </w:rPr>
      </w:pPr>
    </w:p>
    <w:p>
      <w:pPr>
        <w:ind w:right="120" w:firstLine="510"/>
        <w:spacing w:after="0" w:line="311" w:lineRule="auto"/>
        <w:rPr>
          <w:sz w:val="20"/>
          <w:szCs w:val="20"/>
          <w:color w:val="auto"/>
        </w:rPr>
      </w:pPr>
      <w:r>
        <w:rPr>
          <w:rFonts w:ascii="Arial" w:cs="Arial" w:eastAsia="Arial" w:hAnsi="Arial"/>
          <w:sz w:val="14"/>
          <w:szCs w:val="14"/>
          <w:color w:val="auto"/>
        </w:rPr>
        <w:t>Various countries regulate the import and export of certain encryption and other technology, including import and export licensing requirements. Some countries have enacted laws that could limit our ability to distribute our platform or could limit our customers’ ability to implement our platform in those countries. Changes in our platform or future changes in export and import regulations may create delays in the introduction of our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platform would adversely affect our business, operating results,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operating results.</w:t>
      </w:r>
    </w:p>
    <w:p>
      <w:pPr>
        <w:spacing w:after="0" w:line="127" w:lineRule="exact"/>
        <w:rPr>
          <w:sz w:val="20"/>
          <w:szCs w:val="20"/>
          <w:color w:val="auto"/>
        </w:rPr>
      </w:pPr>
    </w:p>
    <w:p>
      <w:pPr>
        <w:ind w:right="80" w:firstLine="510"/>
        <w:spacing w:after="0" w:line="318" w:lineRule="auto"/>
        <w:rPr>
          <w:sz w:val="20"/>
          <w:szCs w:val="20"/>
          <w:color w:val="auto"/>
        </w:rPr>
      </w:pPr>
      <w:r>
        <w:rPr>
          <w:rFonts w:ascii="Arial" w:cs="Arial" w:eastAsia="Arial" w:hAnsi="Arial"/>
          <w:sz w:val="14"/>
          <w:szCs w:val="14"/>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64" w:lineRule="exact"/>
        <w:rPr>
          <w:sz w:val="20"/>
          <w:szCs w:val="20"/>
          <w:color w:val="auto"/>
        </w:rPr>
      </w:pPr>
    </w:p>
    <w:p>
      <w:pPr>
        <w:ind w:right="180" w:firstLine="510"/>
        <w:spacing w:after="0" w:line="288" w:lineRule="auto"/>
        <w:rPr>
          <w:sz w:val="20"/>
          <w:szCs w:val="20"/>
          <w:color w:val="auto"/>
        </w:rPr>
      </w:pPr>
      <w:r>
        <w:rPr>
          <w:rFonts w:ascii="Arial" w:cs="Arial" w:eastAsia="Arial" w:hAnsi="Arial"/>
          <w:sz w:val="15"/>
          <w:szCs w:val="15"/>
          <w:color w:val="auto"/>
        </w:rPr>
        <w:t>We are subject to the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to prohibit companies and their employees and third-party intermediaries from authorizing, promising, offering, or providing, directly or indirectly, improper payments or anything else of value to recipients in the public or private sector. 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corrupt or other illegal activities of these third-party intermediaries, our employees, representatives, contractors, partners, and agents, even if we do not explicitly authorize such activities.</w:t>
      </w:r>
    </w:p>
    <w:p>
      <w:pPr>
        <w:spacing w:after="0" w:line="18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w:t>
      </w:r>
    </w:p>
    <w:p>
      <w:pPr>
        <w:spacing w:after="0" w:line="172" w:lineRule="exact"/>
        <w:rPr>
          <w:sz w:val="20"/>
          <w:szCs w:val="20"/>
          <w:color w:val="auto"/>
        </w:rPr>
      </w:pPr>
    </w:p>
    <w:p>
      <w:pPr>
        <w:ind w:right="100" w:firstLine="510"/>
        <w:spacing w:after="0" w:line="269" w:lineRule="auto"/>
        <w:rPr>
          <w:sz w:val="20"/>
          <w:szCs w:val="20"/>
          <w:color w:val="auto"/>
        </w:rPr>
      </w:pPr>
      <w:r>
        <w:rPr>
          <w:rFonts w:ascii="Arial" w:cs="Arial" w:eastAsia="Arial" w:hAnsi="Arial"/>
          <w:sz w:val="16"/>
          <w:szCs w:val="16"/>
          <w:color w:val="auto"/>
        </w:rPr>
        <w:t>Noncompliance with anti-corruption, anti-bribery, or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9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Changes in subjective assumptions, estimates and judgments by management related to complex accounting matters or changes in accounting principles generally accepted in the United States, could significantly affect our financial condition and results of operations.</w:t>
      </w:r>
    </w:p>
    <w:p>
      <w:pPr>
        <w:spacing w:after="0" w:line="64"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GAAP and related pronouncements, implementation guidelines, and interpretations apply to a wide range of matters that are relevant to our business, including revenue recognition, stock-based compensation, and deferred commissions. These matters are complex and involve subjective assumptions, estimates, and judgments by our management. Changes in GAAP, these accounting pronouncements or their interpretation or changes in underlying assumptions, estimates, or judgments by our management, the Financial Accounting Standards Board (“FASB”), the SEC, and others could significantly change our reported or expected financial performance, which could impact the market price for our Series 1 common stock.</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secure sufficient additional financing on favorable terms, or at all, to meet our future capital needs.</w:t>
      </w:r>
    </w:p>
    <w:p>
      <w:pPr>
        <w:spacing w:after="0" w:line="127" w:lineRule="exact"/>
        <w:rPr>
          <w:sz w:val="20"/>
          <w:szCs w:val="20"/>
          <w:color w:val="auto"/>
        </w:rPr>
      </w:pPr>
    </w:p>
    <w:p>
      <w:pPr>
        <w:ind w:right="40" w:firstLine="510"/>
        <w:spacing w:after="0" w:line="288" w:lineRule="auto"/>
        <w:rPr>
          <w:sz w:val="20"/>
          <w:szCs w:val="20"/>
          <w:color w:val="auto"/>
        </w:rPr>
      </w:pPr>
      <w:r>
        <w:rPr>
          <w:rFonts w:ascii="Arial" w:cs="Arial" w:eastAsia="Arial" w:hAnsi="Arial"/>
          <w:sz w:val="15"/>
          <w:szCs w:val="15"/>
          <w:color w:val="auto"/>
        </w:rPr>
        <w:t>Effective as of December 29, 2020, we have fully repaid all outstanding borrowings under our amended and restated loan and security agreement (“A&amp;R Credit Facility”) with Silicon Valley Bank and terminated the A&amp;R Credit Facility. We may require additional capital in the future to pursue business opportunities or acquisitions, fund business operations or respond to challenges and unforeseen circumstances. We also may decide to engage in equity or debt financings or enter into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Such restrictive covenants may be more restrictive than those contained in the A&amp;R Credit Facility and may make it more difficult for us to obtain additional capital and pursue business opportunities, including potential acquisitions.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288"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64" w:lineRule="exact"/>
        <w:rPr>
          <w:sz w:val="20"/>
          <w:szCs w:val="20"/>
          <w:color w:val="auto"/>
        </w:rPr>
      </w:pPr>
    </w:p>
    <w:p>
      <w:pPr>
        <w:ind w:right="20" w:firstLine="510"/>
        <w:spacing w:after="0" w:line="313" w:lineRule="auto"/>
        <w:rPr>
          <w:sz w:val="20"/>
          <w:szCs w:val="20"/>
          <w:color w:val="auto"/>
        </w:rPr>
      </w:pPr>
      <w:r>
        <w:rPr>
          <w:rFonts w:ascii="Arial" w:cs="Arial" w:eastAsia="Arial" w:hAnsi="Arial"/>
          <w:sz w:val="14"/>
          <w:szCs w:val="14"/>
          <w:color w:val="auto"/>
        </w:rPr>
        <w:t>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64" w:lineRule="exact"/>
        <w:rPr>
          <w:sz w:val="20"/>
          <w:szCs w:val="20"/>
          <w:color w:val="auto"/>
        </w:rPr>
      </w:pPr>
    </w:p>
    <w:p>
      <w:pPr>
        <w:ind w:right="80" w:firstLine="510"/>
        <w:spacing w:after="0" w:line="328" w:lineRule="auto"/>
        <w:rPr>
          <w:sz w:val="20"/>
          <w:szCs w:val="20"/>
          <w:color w:val="auto"/>
        </w:rPr>
      </w:pPr>
      <w:r>
        <w:rPr>
          <w:rFonts w:ascii="Arial" w:cs="Arial" w:eastAsia="Arial" w:hAnsi="Arial"/>
          <w:sz w:val="15"/>
          <w:szCs w:val="15"/>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4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issue additional equity securities that would dilute our stockholders;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use cash that we may need in the future to operate our business;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 debt on terms unfavorable to us or that we are unable to repay;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incur large charges or substantial liabilities;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encounter difficulties retaining key employees of the acquired company or integrating diverse software codes or business cultures;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become subject to adverse tax consequences, substantial depreciation, or deferred compensation charges.</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organizational documents and certain rules imposed by regulatory authorities may delay or prevent our acquisition by a third party.</w:t>
      </w:r>
    </w:p>
    <w:p>
      <w:pPr>
        <w:spacing w:after="0" w:line="138"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Our amended and restated certificate of incorporation and amended and restated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division of our board of directors into three classes and the election of each class for three-year terms;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advance notice requirements for stockholder proposals and director nominations;</w:t>
      </w:r>
    </w:p>
    <w:p>
      <w:pPr>
        <w:spacing w:after="0" w:line="140" w:lineRule="exact"/>
        <w:rPr>
          <w:rFonts w:ascii="Arial" w:cs="Arial" w:eastAsia="Arial" w:hAnsi="Arial"/>
          <w:sz w:val="16"/>
          <w:szCs w:val="16"/>
          <w:color w:val="auto"/>
        </w:rPr>
      </w:pPr>
    </w:p>
    <w:p>
      <w:pPr>
        <w:ind w:left="1000" w:right="140" w:hanging="493"/>
        <w:spacing w:after="0" w:line="293"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provisions limiting stockholders’ ability to call special meetings of stockholders, to require special meetings of stockholders to be called, and to take action by written consent;</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restrictions on business combinations with interested stockholders;</w:t>
      </w:r>
    </w:p>
    <w:p>
      <w:pPr>
        <w:spacing w:after="0" w:line="136" w:lineRule="exact"/>
        <w:rPr>
          <w:rFonts w:ascii="Arial" w:cs="Arial" w:eastAsia="Arial" w:hAnsi="Arial"/>
          <w:sz w:val="16"/>
          <w:szCs w:val="16"/>
          <w:color w:val="auto"/>
        </w:rPr>
      </w:pPr>
    </w:p>
    <w:p>
      <w:pPr>
        <w:ind w:left="1000" w:right="280" w:hanging="493"/>
        <w:spacing w:after="0" w:line="232" w:lineRule="auto"/>
        <w:tabs>
          <w:tab w:leader="none" w:pos="1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 certain cases, the approval of holders representing at least 66</w:t>
      </w:r>
      <w:r>
        <w:rPr>
          <w:rFonts w:ascii="Arial" w:cs="Arial" w:eastAsia="Arial" w:hAnsi="Arial"/>
          <w:sz w:val="23"/>
          <w:szCs w:val="23"/>
          <w:color w:val="auto"/>
          <w:vertAlign w:val="superscript"/>
        </w:rPr>
        <w:t>2⁄3</w:t>
      </w:r>
      <w:r>
        <w:rPr>
          <w:rFonts w:ascii="Arial" w:cs="Arial" w:eastAsia="Arial" w:hAnsi="Arial"/>
          <w:sz w:val="14"/>
          <w:szCs w:val="14"/>
          <w:color w:val="auto"/>
        </w:rPr>
        <w:t>% of the total voting power of the shares entitled to vote generally in the election of directors will be required for stockholders to adopt, amend or repeal our bylaws, or amend or repeal certain provisions of our certificate of incorporation;</w:t>
      </w:r>
    </w:p>
    <w:p>
      <w:pPr>
        <w:spacing w:after="0" w:line="105" w:lineRule="exact"/>
        <w:rPr>
          <w:rFonts w:ascii="Arial" w:cs="Arial" w:eastAsia="Arial" w:hAnsi="Arial"/>
          <w:sz w:val="14"/>
          <w:szCs w:val="14"/>
          <w:color w:val="auto"/>
        </w:rPr>
      </w:pPr>
    </w:p>
    <w:p>
      <w:pPr>
        <w:ind w:left="1000" w:hanging="493"/>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cumulative voting;</w:t>
      </w:r>
    </w:p>
    <w:p>
      <w:pPr>
        <w:spacing w:after="0" w:line="136" w:lineRule="exact"/>
        <w:rPr>
          <w:rFonts w:ascii="Arial" w:cs="Arial" w:eastAsia="Arial" w:hAnsi="Arial"/>
          <w:sz w:val="16"/>
          <w:szCs w:val="16"/>
          <w:color w:val="auto"/>
        </w:rPr>
      </w:pPr>
    </w:p>
    <w:p>
      <w:pPr>
        <w:ind w:left="1000" w:right="140" w:hanging="493"/>
        <w:spacing w:after="0" w:line="200"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required approval of holders representing at least 66</w:t>
      </w:r>
      <w:r>
        <w:rPr>
          <w:rFonts w:ascii="Arial" w:cs="Arial" w:eastAsia="Arial" w:hAnsi="Arial"/>
          <w:sz w:val="27"/>
          <w:szCs w:val="27"/>
          <w:color w:val="auto"/>
          <w:vertAlign w:val="superscript"/>
        </w:rPr>
        <w:t>2⁄3</w:t>
      </w:r>
      <w:r>
        <w:rPr>
          <w:rFonts w:ascii="Arial" w:cs="Arial" w:eastAsia="Arial" w:hAnsi="Arial"/>
          <w:sz w:val="16"/>
          <w:szCs w:val="16"/>
          <w:color w:val="auto"/>
        </w:rPr>
        <w:t>% of the total voting power of the shares entitled to vote at an election of the directors to remove directors; and</w:t>
      </w:r>
    </w:p>
    <w:p>
      <w:pPr>
        <w:spacing w:after="0" w:line="104" w:lineRule="exact"/>
        <w:rPr>
          <w:rFonts w:ascii="Arial" w:cs="Arial" w:eastAsia="Arial" w:hAnsi="Arial"/>
          <w:sz w:val="16"/>
          <w:szCs w:val="16"/>
          <w:color w:val="auto"/>
        </w:rPr>
      </w:pPr>
    </w:p>
    <w:p>
      <w:pPr>
        <w:jc w:val="both"/>
        <w:ind w:left="1000" w:right="320" w:hanging="493"/>
        <w:spacing w:after="0" w:line="278"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governing body.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0" w:firstLine="510"/>
        <w:spacing w:after="0" w:line="369" w:lineRule="auto"/>
        <w:rPr>
          <w:sz w:val="20"/>
          <w:szCs w:val="20"/>
          <w:color w:val="auto"/>
        </w:rPr>
      </w:pPr>
      <w:r>
        <w:rPr>
          <w:rFonts w:ascii="Arial" w:cs="Arial" w:eastAsia="Arial" w:hAnsi="Arial"/>
          <w:sz w:val="14"/>
          <w:szCs w:val="14"/>
          <w:color w:val="auto"/>
        </w:rPr>
        <w:t>These provisions of our amended and restated certificate of incorporation and amended and restated bylaws could discourage potential takeover attempts and reduce the price that investors might be willing to pay for shares of our Series 1 common stock in the future, which could reduce the market price of our Series 1 common stock.</w:t>
      </w:r>
    </w:p>
    <w:p>
      <w:pPr>
        <w:spacing w:after="0" w:line="126" w:lineRule="exact"/>
        <w:rPr>
          <w:sz w:val="20"/>
          <w:szCs w:val="20"/>
          <w:color w:val="auto"/>
        </w:rPr>
      </w:pPr>
    </w:p>
    <w:p>
      <w:pPr>
        <w:ind w:right="300"/>
        <w:spacing w:after="0" w:line="369" w:lineRule="auto"/>
        <w:rPr>
          <w:sz w:val="20"/>
          <w:szCs w:val="20"/>
          <w:color w:val="auto"/>
        </w:rPr>
      </w:pPr>
      <w:r>
        <w:rPr>
          <w:rFonts w:ascii="Arial" w:cs="Arial" w:eastAsia="Arial" w:hAnsi="Arial"/>
          <w:sz w:val="14"/>
          <w:szCs w:val="14"/>
          <w:b w:val="1"/>
          <w:bCs w:val="1"/>
          <w:i w:val="1"/>
          <w:iCs w:val="1"/>
          <w:color w:val="auto"/>
        </w:rPr>
        <w:t>The provision of our amended and restated certificate of incorporation requiring exclusive venue in the Court of Chancery in the State of Delaware and the federal district courts of the United States for certain types of lawsuits may have the effect of discouraging lawsuits against our directors and officers.</w:t>
      </w:r>
    </w:p>
    <w:p>
      <w:pPr>
        <w:spacing w:after="0" w:line="18" w:lineRule="exact"/>
        <w:rPr>
          <w:sz w:val="20"/>
          <w:szCs w:val="20"/>
          <w:color w:val="auto"/>
        </w:rPr>
      </w:pPr>
    </w:p>
    <w:p>
      <w:pPr>
        <w:ind w:firstLine="510"/>
        <w:spacing w:after="0" w:line="287"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be the sole and exclusive forum for: (1) any derivative action or proceeding brought on behalf of our company, (2) any action asserting a claim of breach of fiduciary duty owed by any director (including any director serving as a member of the Executive Committee), officer, agent or other employee or stockholder of our company to us or our stockholders, (3) any action asserting a claim arising pursuant to any provision of the Delaware General Corporation Law (“DGCL”), the amended and restated certificate of incorporation or our bylaws or as to which the DGCL confers jurisdiction on the Court of Chancery of the State of Delaware, or (4) any action asserting a claim governed by the internal affairs doctrine, in each case subject to such Court of Chancery having personal jurisdiction over the indispensable parties named as defendants therein. It further provides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The exclusive forum clauses described above shall not apply to suits brought to enforce a duty or liability created by the Exchange Act, or any other claim for which the federal courts have exclusive jurisdiction.</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our amended and restated certificate of incorporation to be inapplicable or unenforceable in such action. If so, we may incur additional costs associated with resolving such action in other jurisdictions,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31" w:lineRule="exact"/>
        <w:rPr>
          <w:sz w:val="20"/>
          <w:szCs w:val="20"/>
          <w:color w:val="auto"/>
        </w:rPr>
      </w:pPr>
    </w:p>
    <w:p>
      <w:pPr>
        <w:ind w:right="60" w:firstLine="510"/>
        <w:spacing w:after="0" w:line="293" w:lineRule="auto"/>
        <w:rPr>
          <w:sz w:val="20"/>
          <w:szCs w:val="20"/>
          <w:color w:val="auto"/>
        </w:rPr>
      </w:pPr>
      <w:r>
        <w:rPr>
          <w:rFonts w:ascii="Arial" w:cs="Arial" w:eastAsia="Arial" w:hAnsi="Arial"/>
          <w:sz w:val="15"/>
          <w:szCs w:val="15"/>
          <w:color w:val="auto"/>
        </w:rPr>
        <w:t>Our principal executive offices are located in Austin, Texas in two buildings located in the Four Points and Downtown regions under separate lease agreements, pursuant to the first of which we lease approximately 70,682 square feet of office space under a lease agreement with an initial term that expires on April 30, 2028, with the option to extend the lease for an additional two, five-year terms, and pursuant to the second of which we lease approximately 10,750 square feet of office space with an initial term that expires on March 31, 2023, with the option to extend the lease for an additional three-year term. We also lease office space in San Francisco, California; Sydney, Australia; and London, United Kingdom. We believe our current facilities will be adequate for our needs for the current term.</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1"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and Holders</w:t>
      </w:r>
    </w:p>
    <w:p>
      <w:pPr>
        <w:spacing w:after="0" w:line="131" w:lineRule="exact"/>
        <w:rPr>
          <w:sz w:val="20"/>
          <w:szCs w:val="20"/>
          <w:color w:val="auto"/>
        </w:rPr>
      </w:pPr>
    </w:p>
    <w:p>
      <w:pPr>
        <w:ind w:right="100" w:firstLine="578"/>
        <w:spacing w:after="0" w:line="293" w:lineRule="auto"/>
        <w:rPr>
          <w:sz w:val="20"/>
          <w:szCs w:val="20"/>
          <w:color w:val="auto"/>
        </w:rPr>
      </w:pPr>
      <w:r>
        <w:rPr>
          <w:rFonts w:ascii="Arial" w:cs="Arial" w:eastAsia="Arial" w:hAnsi="Arial"/>
          <w:sz w:val="15"/>
          <w:szCs w:val="15"/>
          <w:color w:val="auto"/>
        </w:rPr>
        <w:t>Our Series 1 common stock has been listed on the Nasdaq Global Select Market under the symbol “BIGC” since August 5, 2020. Prior to that date, there was no public trading market for our Series 1 common stock. Our IPO was priced at $24.00 per share on August 5, 2020. On February 16, 2021, the last reported sale price of our common stock on the Nasdaq Global Select Market was $74.81 per share. As of February 16, 2021, we had 332 holders of record of our Series 1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31" w:lineRule="exact"/>
        <w:rPr>
          <w:sz w:val="20"/>
          <w:szCs w:val="20"/>
          <w:color w:val="auto"/>
        </w:rPr>
      </w:pPr>
    </w:p>
    <w:p>
      <w:pPr>
        <w:ind w:right="280" w:firstLine="510"/>
        <w:spacing w:after="0" w:line="273" w:lineRule="auto"/>
        <w:rPr>
          <w:sz w:val="20"/>
          <w:szCs w:val="20"/>
          <w:color w:val="auto"/>
        </w:rPr>
      </w:pPr>
      <w:r>
        <w:rPr>
          <w:rFonts w:ascii="Arial" w:cs="Arial" w:eastAsia="Arial" w:hAnsi="Arial"/>
          <w:sz w:val="16"/>
          <w:szCs w:val="16"/>
          <w:color w:val="auto"/>
        </w:rPr>
        <w:t>We have never declared or paid any cash dividends on our Series 1 common stock. Any future determination to declare cash dividends on our Series 1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Series 1 common stock for the foreseeable future.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 from Registered Securities</w:t>
      </w:r>
    </w:p>
    <w:p>
      <w:pPr>
        <w:spacing w:after="0" w:line="26" w:lineRule="exact"/>
        <w:rPr>
          <w:sz w:val="20"/>
          <w:szCs w:val="20"/>
          <w:color w:val="auto"/>
        </w:rPr>
      </w:pPr>
    </w:p>
    <w:p>
      <w:pPr>
        <w:ind w:right="80" w:firstLine="464"/>
        <w:spacing w:after="0" w:line="317" w:lineRule="auto"/>
        <w:rPr>
          <w:sz w:val="20"/>
          <w:szCs w:val="20"/>
          <w:color w:val="auto"/>
        </w:rPr>
      </w:pPr>
      <w:r>
        <w:rPr>
          <w:rFonts w:ascii="Arial" w:cs="Arial" w:eastAsia="Arial" w:hAnsi="Arial"/>
          <w:sz w:val="14"/>
          <w:szCs w:val="14"/>
          <w:color w:val="auto"/>
        </w:rPr>
        <w:t>On August 4, 2020, we completed our IPO, in which we issued and sold 7,877,500 shares of our Series 1 common stock, including 1,027,500 shares of Series 1 common stock that were sold pursuant to the exercise in full of the underwriters’ option to purchase additional shares of Series 1 common stock at $24.00 per share. The IPO resulted in net proceeds of $171.1 million after deducting underwriting discounts, commissions and other offering costs. Existing stockholders sold an additional 2,495,000 shares of Series 1 common stock, including 325,435 shares of Series 1 common stock that were sold pursuant to the exercise in full of the underwriters’ option to purchase additional shares of Series 1 common stock at $24.00 per share. We did not receive any proceeds from the sale of shares by the selling stockholders in the IPO.</w:t>
      </w:r>
    </w:p>
    <w:p>
      <w:pPr>
        <w:spacing w:after="0" w:line="148" w:lineRule="exact"/>
        <w:rPr>
          <w:sz w:val="20"/>
          <w:szCs w:val="20"/>
          <w:color w:val="auto"/>
        </w:rPr>
      </w:pPr>
    </w:p>
    <w:p>
      <w:pPr>
        <w:ind w:right="20" w:firstLine="464"/>
        <w:spacing w:after="0" w:line="271" w:lineRule="auto"/>
        <w:rPr>
          <w:sz w:val="20"/>
          <w:szCs w:val="20"/>
          <w:color w:val="auto"/>
        </w:rPr>
      </w:pPr>
      <w:r>
        <w:rPr>
          <w:rFonts w:ascii="Arial" w:cs="Arial" w:eastAsia="Arial" w:hAnsi="Arial"/>
          <w:sz w:val="16"/>
          <w:szCs w:val="16"/>
          <w:color w:val="auto"/>
        </w:rPr>
        <w:t>On November 12, 2020, we completed our follow-on offering (“Secondary Offering”), in which we issued and sold 1,000,000 shares of our Series 1 common stock at $68.00 per share. The Secondary Offering resulted in net proceeds of $65.1 million after deducting underwriting discounts, commissions and other offering costs. Existing stockholders sold an additional 4,750,000 shares of Series 1 common stock, including 750,000 shares of Series 1 common stock that were sold pursuant to the exercise in full of the underwriters’ option to purchase additional shares of Series 1 common stock at $68.00 per share. We did not receive any proceeds from the sale of shares by the selling stockholders in the Secondary Offering.</w:t>
      </w:r>
    </w:p>
    <w:p>
      <w:pPr>
        <w:spacing w:after="0" w:line="176" w:lineRule="exact"/>
        <w:rPr>
          <w:sz w:val="20"/>
          <w:szCs w:val="20"/>
          <w:color w:val="auto"/>
        </w:rPr>
      </w:pPr>
    </w:p>
    <w:p>
      <w:pPr>
        <w:ind w:right="120" w:firstLine="464"/>
        <w:spacing w:after="0" w:line="273" w:lineRule="auto"/>
        <w:rPr>
          <w:sz w:val="20"/>
          <w:szCs w:val="20"/>
          <w:color w:val="auto"/>
        </w:rPr>
      </w:pPr>
      <w:r>
        <w:rPr>
          <w:rFonts w:ascii="Arial" w:cs="Arial" w:eastAsia="Arial" w:hAnsi="Arial"/>
          <w:sz w:val="16"/>
          <w:szCs w:val="16"/>
          <w:color w:val="auto"/>
        </w:rPr>
        <w:t>There have been no material changes in the planned use of proceeds from our IPO and Secondary Offering from that described in the final prospectus’ filed with the SEC pursuant to Rule 424(b) on August 5, 2020 and November 16, 2020, respectively. Upon completion of the IPO, the Series F Dividend was finally calculated to be $12.8 million and was paid on or about August 12, 2020. Additionally, upon completion of the Secondary Offering, we fully repaid approximately $22 million of our outstanding indebtedness under our Credit Facility.</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31" w:lineRule="exact"/>
        <w:rPr>
          <w:sz w:val="20"/>
          <w:szCs w:val="20"/>
          <w:color w:val="auto"/>
        </w:rPr>
      </w:pPr>
    </w:p>
    <w:p>
      <w:pPr>
        <w:ind w:firstLine="510"/>
        <w:spacing w:after="0" w:line="369" w:lineRule="auto"/>
        <w:rPr>
          <w:sz w:val="20"/>
          <w:szCs w:val="20"/>
          <w:color w:val="auto"/>
        </w:rPr>
      </w:pPr>
      <w:r>
        <w:rPr>
          <w:rFonts w:ascii="Arial" w:cs="Arial" w:eastAsia="Arial" w:hAnsi="Arial"/>
          <w:sz w:val="14"/>
          <w:szCs w:val="14"/>
          <w:color w:val="auto"/>
        </w:rPr>
        <w:t>Information regarding the securities authorized for issuance under our equity compensation plans will be included in our Proxy Statement relating to our 2021 annual meeting of stockholders to be filed with the SEC within 120 days after the end of our fiscal year ended December 31, 2020, and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347"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The graph set forth below compares the cumulative total stockholder return on our common stock between August 5, 2020 (our first day of trading) and December 31, 2020, with the cumulative total return of (i) the S&amp;P 500 Index and (ii) the NASDAQ Computer Index. This graph assumes the investment of $100 on August 5, 2020, our first day of trading, in our common stock at the closing price of $72.27 per share, the S&amp;P 500 Index and the NASDAQ Computer Index, and assumes the reinvestment of dividends, if any. Note that historic stock price performance is not necessarily indicative of future stock price performance.</w:t>
      </w:r>
    </w:p>
    <w:p>
      <w:pPr>
        <w:spacing w:after="0" w:line="280"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The information contained in the Stock Performance Graph shall not be deemed to be soliciting material or to be filed with the SEC nor shall such information be incorporated by reference into any future filing under the Securities Act of 1933 or the Exchange Act, except to the extent we specifically incorporate it by reference into such filing.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97790</wp:posOffset>
            </wp:positionV>
            <wp:extent cx="6069330" cy="4629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69330"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20"/>
                <w:szCs w:val="20"/>
                <w:color w:val="auto"/>
              </w:rPr>
            </w:pPr>
            <w:r>
              <w:rPr>
                <w:rFonts w:ascii="Arial" w:cs="Arial" w:eastAsia="Arial" w:hAnsi="Arial"/>
                <w:sz w:val="16"/>
                <w:szCs w:val="16"/>
                <w:b w:val="1"/>
                <w:bCs w:val="1"/>
                <w:color w:val="auto"/>
              </w:rPr>
              <w:t>Issuer Purchases of Equity Securities</w:t>
            </w: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Total number of</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shares</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Approximate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purchased as</w:t>
            </w: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dollar value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part of publicly</w:t>
            </w: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shares that may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Total number of</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announced</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be purchased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shares</w:t>
            </w:r>
          </w:p>
        </w:tc>
        <w:tc>
          <w:tcPr>
            <w:tcW w:w="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Average price</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plans or</w:t>
            </w: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under the plans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7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240" w:type="dxa"/>
            <w:vAlign w:val="bottom"/>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paid per share</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programs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or program</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September 1-30, 2020</w:t>
            </w:r>
          </w:p>
        </w:tc>
        <w:tc>
          <w:tcPr>
            <w:tcW w:w="292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October 1-31, 2020</w:t>
            </w:r>
          </w:p>
        </w:tc>
        <w:tc>
          <w:tcPr>
            <w:tcW w:w="17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November 1-30, 2020</w:t>
            </w:r>
          </w:p>
        </w:tc>
        <w:tc>
          <w:tcPr>
            <w:tcW w:w="29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December 1-31, 2020</w:t>
            </w:r>
          </w:p>
        </w:tc>
        <w:tc>
          <w:tcPr>
            <w:tcW w:w="176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Total</w:t>
            </w:r>
          </w:p>
        </w:tc>
        <w:tc>
          <w:tcPr>
            <w:tcW w:w="29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2.96</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760" w:type="dxa"/>
            <w:vAlign w:val="bottom"/>
            <w:vMerge w:val="restart"/>
          </w:tcPr>
          <w:p>
            <w:pPr>
              <w:jc w:val="right"/>
              <w:ind w:right="39"/>
              <w:spacing w:after="0"/>
              <w:rPr>
                <w:sz w:val="20"/>
                <w:szCs w:val="20"/>
                <w:color w:val="auto"/>
              </w:rPr>
            </w:pPr>
            <w:r>
              <w:rPr>
                <w:rFonts w:ascii="Arial" w:cs="Arial" w:eastAsia="Arial" w:hAnsi="Arial"/>
                <w:sz w:val="16"/>
                <w:szCs w:val="16"/>
                <w:color w:val="auto"/>
              </w:rPr>
              <w:t>30</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i w:val="1"/>
          <w:iCs w:val="1"/>
          <w:color w:val="auto"/>
        </w:rPr>
        <w:t>The following selected consolidated statements of operations data for the years ended December 31, 2020, 2019 and 2018, and the selected consolidated balance sheet data as of December 31, 2020 and 2019 are derived from our audited consolidated financial statements included elsewhere in this Annual Report on Form 10-K. The selected consolidated financial data should be read together with "Management's Discussion and Analysis of Financial Condition and Results of Operations," our consolidated financial statements, related notes, and other financial information included elsewhere in this Annual Report on Form 10-K. Our historical results are not necessarily indicative of our results to be expected in any future period. All amounts are in thousands, except per share data.</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Revenue</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152,368</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112,103</w:t>
            </w:r>
          </w:p>
        </w:tc>
        <w:tc>
          <w:tcPr>
            <w:tcW w:w="14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Cost of revenue </w:t>
            </w:r>
            <w:r>
              <w:rPr>
                <w:rFonts w:ascii="Arial" w:cs="Arial" w:eastAsia="Arial" w:hAnsi="Arial"/>
                <w:sz w:val="25"/>
                <w:szCs w:val="25"/>
                <w:color w:val="auto"/>
                <w:vertAlign w:val="superscript"/>
              </w:rPr>
              <w:t>(1)</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118,242</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85,080</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Arial" w:cs="Arial" w:eastAsia="Arial" w:hAnsi="Arial"/>
                <w:sz w:val="15"/>
                <w:szCs w:val="15"/>
                <w:color w:val="auto"/>
              </w:rPr>
              <w:t xml:space="preserve">Sales and marketing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60,740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40"/>
              <w:spacing w:after="0" w:line="216" w:lineRule="exact"/>
              <w:rPr>
                <w:sz w:val="20"/>
                <w:szCs w:val="20"/>
                <w:color w:val="auto"/>
              </w:rPr>
            </w:pPr>
            <w:r>
              <w:rPr>
                <w:rFonts w:ascii="Arial" w:cs="Arial" w:eastAsia="Arial" w:hAnsi="Arial"/>
                <w:sz w:val="15"/>
                <w:szCs w:val="15"/>
                <w:color w:val="auto"/>
              </w:rPr>
              <w:t xml:space="preserve">Research and development </w:t>
            </w:r>
            <w:r>
              <w:rPr>
                <w:rFonts w:ascii="Arial" w:cs="Arial" w:eastAsia="Arial" w:hAnsi="Arial"/>
                <w:sz w:val="25"/>
                <w:szCs w:val="25"/>
                <w:color w:val="auto"/>
                <w:vertAlign w:val="superscript"/>
              </w:rPr>
              <w:t>(1)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43,123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tcPr>
          <w:p>
            <w:pPr>
              <w:ind w:left="240"/>
              <w:spacing w:after="0" w:line="216" w:lineRule="exact"/>
              <w:rPr>
                <w:sz w:val="20"/>
                <w:szCs w:val="20"/>
                <w:color w:val="auto"/>
              </w:rPr>
            </w:pPr>
            <w:r>
              <w:rPr>
                <w:rFonts w:ascii="Arial" w:cs="Arial" w:eastAsia="Arial" w:hAnsi="Arial"/>
                <w:sz w:val="15"/>
                <w:szCs w:val="15"/>
                <w:color w:val="auto"/>
              </w:rPr>
              <w:t xml:space="preserve">General and administrative </w:t>
            </w:r>
            <w:r>
              <w:rPr>
                <w:rFonts w:ascii="Arial" w:cs="Arial" w:eastAsia="Arial" w:hAnsi="Arial"/>
                <w:sz w:val="25"/>
                <w:szCs w:val="25"/>
                <w:color w:val="auto"/>
                <w:vertAlign w:val="superscript"/>
              </w:rPr>
              <w:t>(1)</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36,137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156,939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126,067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107,910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620"/>
              <w:spacing w:after="0"/>
              <w:rPr>
                <w:sz w:val="20"/>
                <w:szCs w:val="20"/>
                <w:color w:val="auto"/>
              </w:rPr>
            </w:pPr>
            <w:r>
              <w:rPr>
                <w:rFonts w:ascii="Arial" w:cs="Arial" w:eastAsia="Arial" w:hAnsi="Arial"/>
                <w:sz w:val="16"/>
                <w:szCs w:val="16"/>
                <w:color w:val="auto"/>
              </w:rPr>
              <w:t>Loss from operations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(38,697)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(40,987)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(37,980)</w:t>
            </w: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(3,103)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financial instruments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spacing w:after="0"/>
              <w:rPr>
                <w:sz w:val="20"/>
                <w:szCs w:val="20"/>
                <w:color w:val="auto"/>
              </w:rPr>
            </w:pPr>
            <w:r>
              <w:rPr>
                <w:rFonts w:ascii="Arial" w:cs="Arial" w:eastAsia="Arial" w:hAnsi="Arial"/>
                <w:sz w:val="16"/>
                <w:szCs w:val="16"/>
                <w:color w:val="auto"/>
              </w:rPr>
              <w:t>Other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ind w:left="620"/>
              <w:spacing w:after="0"/>
              <w:rPr>
                <w:sz w:val="20"/>
                <w:szCs w:val="20"/>
                <w:color w:val="auto"/>
              </w:rPr>
            </w:pPr>
            <w:r>
              <w:rPr>
                <w:rFonts w:ascii="Arial" w:cs="Arial" w:eastAsia="Arial" w:hAnsi="Arial"/>
                <w:sz w:val="16"/>
                <w:szCs w:val="16"/>
                <w:color w:val="auto"/>
              </w:rPr>
              <w:t>Loss before provision for income taxes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(37,535)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(42,562)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(38,868)</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Net loss</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(37,560)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(42,590)</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(38,878)</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w w:val="96"/>
              </w:rPr>
              <w:t>Cumulative dividends and accretion of issuance costs on Series F preferred</w:t>
            </w: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(962)</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(7,308)</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(38,522)</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(49,898)</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(43,590)</w:t>
            </w: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Basic and diluted net loss per share attributable to common stockholders</w:t>
            </w: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(0.99)</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(2.80)</w:t>
            </w: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9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1"/>
              </w:rPr>
              <w:t>Weighted-average number of shares used to compute basic and diluted net loss</w:t>
            </w:r>
          </w:p>
        </w:tc>
        <w:tc>
          <w:tcPr>
            <w:tcW w:w="1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per share attributable to common stockholders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39,092</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16,807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04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FF0FC"/>
          </w:tcPr>
          <w:p>
            <w:pPr>
              <w:spacing w:after="0"/>
              <w:rPr>
                <w:sz w:val="18"/>
                <w:szCs w:val="18"/>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Sales and marketing</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w:t>
            </w:r>
          </w:p>
        </w:tc>
        <w:tc>
          <w:tcPr>
            <w:tcW w:w="80" w:type="dxa"/>
            <w:vAlign w:val="bottom"/>
          </w:tcPr>
          <w:p>
            <w:pPr>
              <w:spacing w:after="0"/>
              <w:rPr>
                <w:sz w:val="18"/>
                <w:szCs w:val="18"/>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FF0FC"/>
          </w:tcPr>
          <w:p>
            <w:pPr>
              <w:spacing w:after="0"/>
              <w:rPr>
                <w:sz w:val="19"/>
                <w:szCs w:val="19"/>
                <w:color w:val="auto"/>
              </w:rPr>
            </w:pPr>
          </w:p>
        </w:tc>
      </w:tr>
      <w:tr>
        <w:trPr>
          <w:trHeight w:val="213"/>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1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Borders>
              <w:bottom w:val="single" w:sz="8" w:color="CFF0FC"/>
            </w:tcBorders>
          </w:tcPr>
          <w:p>
            <w:pPr>
              <w:spacing w:after="0"/>
              <w:rPr>
                <w:sz w:val="18"/>
                <w:szCs w:val="18"/>
                <w:color w:val="auto"/>
              </w:rPr>
            </w:pPr>
          </w:p>
        </w:tc>
      </w:tr>
      <w:tr>
        <w:trPr>
          <w:trHeight w:val="209"/>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stock-based compensation expense</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w:t>
            </w:r>
          </w:p>
        </w:tc>
        <w:tc>
          <w:tcPr>
            <w:tcW w:w="80" w:type="dxa"/>
            <w:vAlign w:val="bottom"/>
            <w:shd w:val="clear" w:color="auto" w:fill="CFF0FC"/>
          </w:tcPr>
          <w:p>
            <w:pPr>
              <w:spacing w:after="0"/>
              <w:rPr>
                <w:sz w:val="18"/>
                <w:szCs w:val="18"/>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7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Non-GAAP financial measures</w:t>
      </w:r>
    </w:p>
    <w:p>
      <w:pPr>
        <w:spacing w:after="0" w:line="117" w:lineRule="exact"/>
        <w:rPr>
          <w:sz w:val="20"/>
          <w:szCs w:val="20"/>
          <w:color w:val="auto"/>
        </w:rPr>
      </w:pPr>
    </w:p>
    <w:p>
      <w:pPr>
        <w:ind w:left="260" w:right="500" w:firstLine="436"/>
        <w:spacing w:after="0" w:line="305" w:lineRule="auto"/>
        <w:rPr>
          <w:sz w:val="20"/>
          <w:szCs w:val="20"/>
          <w:color w:val="auto"/>
        </w:rPr>
      </w:pPr>
      <w:r>
        <w:rPr>
          <w:rFonts w:ascii="Arial" w:cs="Arial" w:eastAsia="Arial" w:hAnsi="Arial"/>
          <w:sz w:val="15"/>
          <w:szCs w:val="15"/>
          <w:color w:val="auto"/>
        </w:rPr>
        <w:t>To supplement our financial statements presented in accordance with GAAP and to provide investors with additional information regarding our financial results, we have presented in this Annual Report on Form 10-K adjusted EBITDA, a non-GAAP financial measure. Adjusted EBITDA is not based on any standardized methodology prescribed by GAAP and is not necessarily comparable to similarly titled measures presented by other companies.</w:t>
      </w:r>
    </w:p>
    <w:p>
      <w:pPr>
        <w:spacing w:after="0" w:line="125" w:lineRule="exact"/>
        <w:rPr>
          <w:sz w:val="20"/>
          <w:szCs w:val="20"/>
          <w:color w:val="auto"/>
        </w:rPr>
      </w:pPr>
    </w:p>
    <w:p>
      <w:pPr>
        <w:ind w:left="260" w:right="140" w:firstLine="436"/>
        <w:spacing w:after="0" w:line="269" w:lineRule="auto"/>
        <w:rPr>
          <w:sz w:val="20"/>
          <w:szCs w:val="20"/>
          <w:color w:val="auto"/>
        </w:rPr>
      </w:pPr>
      <w:r>
        <w:rPr>
          <w:rFonts w:ascii="Arial" w:cs="Arial" w:eastAsia="Arial" w:hAnsi="Arial"/>
          <w:sz w:val="16"/>
          <w:szCs w:val="16"/>
          <w:color w:val="auto"/>
        </w:rPr>
        <w:t>We define adjusted EBITDA as our net loss, excluding the impact of stock-based compensation expense, depreciation and amortization expense, interest income, interest expense, change in fair value of financial instruments, and our provision for income taxes. The most directly comparable GAAP measure is net loss. We monitor and have presented in this Annual Report on Form 10-K adjusted EBITDA because it is a key measure used by our management and board of directors to understand and evaluate our operating performance, to establish budgets, and to develop operational goals for managing our business. In particular, we believe excluding the impact of these expenses in calculating adjusted EBITDA can provide a useful measure for period-to-period comparisons of our core operating performance. We believe adjusted EBITDA helps identify underlying trends in our business that could otherwise be masked by the effect of the expenses that we include in net</w:t>
      </w:r>
    </w:p>
    <w:p>
      <w:pPr>
        <w:sectPr>
          <w:pgSz w:w="11900" w:h="16838" w:orient="portrait"/>
          <w:cols w:equalWidth="0" w:num="1">
            <w:col w:w="11100"/>
          </w:cols>
          <w:pgMar w:left="320" w:top="126" w:right="479" w:bottom="1440" w:gutter="0" w:footer="0" w:header="0"/>
        </w:sectPr>
      </w:pPr>
    </w:p>
    <w:p>
      <w:pPr>
        <w:spacing w:after="0" w:line="19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20" w:lineRule="exact"/>
        <w:rPr>
          <w:sz w:val="20"/>
          <w:szCs w:val="20"/>
          <w:color w:val="auto"/>
        </w:rPr>
      </w:pPr>
    </w:p>
    <w:p>
      <w:pPr>
        <w:ind w:left="260" w:right="60"/>
        <w:spacing w:after="0" w:line="293" w:lineRule="auto"/>
        <w:rPr>
          <w:sz w:val="20"/>
          <w:szCs w:val="20"/>
          <w:color w:val="auto"/>
        </w:rPr>
      </w:pPr>
      <w:r>
        <w:rPr>
          <w:rFonts w:ascii="Arial" w:cs="Arial" w:eastAsia="Arial" w:hAnsi="Arial"/>
          <w:sz w:val="16"/>
          <w:szCs w:val="16"/>
          <w:color w:val="auto"/>
        </w:rPr>
        <w:t>loss. Accordingly, we believe adjusted EBITDA provides useful information to investors, analysts, and others in understanding and evaluating our operating results, enhancing the overall understanding of our past performance and future prospects.</w:t>
      </w:r>
    </w:p>
    <w:p>
      <w:pPr>
        <w:spacing w:after="0" w:line="145" w:lineRule="exact"/>
        <w:rPr>
          <w:sz w:val="20"/>
          <w:szCs w:val="20"/>
          <w:color w:val="auto"/>
        </w:rPr>
      </w:pPr>
    </w:p>
    <w:p>
      <w:pPr>
        <w:jc w:val="both"/>
        <w:ind w:left="260" w:right="480" w:firstLine="436"/>
        <w:spacing w:after="0" w:line="278" w:lineRule="auto"/>
        <w:rPr>
          <w:sz w:val="20"/>
          <w:szCs w:val="20"/>
          <w:color w:val="auto"/>
        </w:rPr>
      </w:pPr>
      <w:r>
        <w:rPr>
          <w:rFonts w:ascii="Arial" w:cs="Arial" w:eastAsia="Arial" w:hAnsi="Arial"/>
          <w:sz w:val="16"/>
          <w:szCs w:val="16"/>
          <w:color w:val="auto"/>
        </w:rPr>
        <w:t>Adjusted EBITDA is not prepared in accordance with GAAP and should not be considered in isolation of, or as an alternative to, measures prepared in accordance with GAAP. There are a number of limitations related to the use of adjusted EBITDA rather than net loss, which is the most directly comparable financial measure calculated and presented in accordance with GAAP. Some of these limitations are:</w:t>
      </w:r>
    </w:p>
    <w:p>
      <w:pPr>
        <w:spacing w:after="0" w:line="90" w:lineRule="exact"/>
        <w:rPr>
          <w:sz w:val="20"/>
          <w:szCs w:val="20"/>
          <w:color w:val="auto"/>
        </w:rPr>
      </w:pPr>
    </w:p>
    <w:p>
      <w:pPr>
        <w:ind w:left="1180" w:right="1020" w:hanging="413"/>
        <w:spacing w:after="0" w:line="328" w:lineRule="auto"/>
        <w:tabs>
          <w:tab w:leader="none" w:pos="11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adjusted EBITDA excludes stock-based compensation expense and payroll tax associated with stock-based compensation expense as it has recently been, and will continue to be for the foreseeable future, a significant recurring non-cash expense for our business;</w:t>
      </w:r>
    </w:p>
    <w:p>
      <w:pPr>
        <w:spacing w:after="0" w:line="55" w:lineRule="exact"/>
        <w:rPr>
          <w:rFonts w:ascii="Arial" w:cs="Arial" w:eastAsia="Arial" w:hAnsi="Arial"/>
          <w:sz w:val="15"/>
          <w:szCs w:val="15"/>
          <w:color w:val="auto"/>
        </w:rPr>
      </w:pPr>
    </w:p>
    <w:p>
      <w:pPr>
        <w:ind w:left="1180" w:right="920" w:hanging="413"/>
        <w:spacing w:after="0" w:line="293"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excludes depreciation and amortization expense and, although this is a non-cash expense, the assets being depreciated and amortized may have to be replaced in the future;</w:t>
      </w:r>
    </w:p>
    <w:p>
      <w:pPr>
        <w:spacing w:after="0" w:line="77" w:lineRule="exact"/>
        <w:rPr>
          <w:rFonts w:ascii="Arial" w:cs="Arial" w:eastAsia="Arial" w:hAnsi="Arial"/>
          <w:sz w:val="16"/>
          <w:szCs w:val="16"/>
          <w:color w:val="auto"/>
        </w:rPr>
      </w:pPr>
    </w:p>
    <w:p>
      <w:pPr>
        <w:ind w:left="1180" w:hanging="413"/>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cash requirements necessary to service interest on our debt which affects the cash available to us;</w:t>
      </w:r>
    </w:p>
    <w:p>
      <w:pPr>
        <w:spacing w:after="0" w:line="140" w:lineRule="exact"/>
        <w:rPr>
          <w:rFonts w:ascii="Arial" w:cs="Arial" w:eastAsia="Arial" w:hAnsi="Arial"/>
          <w:sz w:val="16"/>
          <w:szCs w:val="16"/>
          <w:color w:val="auto"/>
        </w:rPr>
      </w:pPr>
    </w:p>
    <w:p>
      <w:pPr>
        <w:ind w:left="1180" w:hanging="413"/>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monies earned from our investments since it does not reflect our core operations;</w:t>
      </w:r>
    </w:p>
    <w:p>
      <w:pPr>
        <w:spacing w:after="0" w:line="140" w:lineRule="exact"/>
        <w:rPr>
          <w:rFonts w:ascii="Arial" w:cs="Arial" w:eastAsia="Arial" w:hAnsi="Arial"/>
          <w:sz w:val="16"/>
          <w:szCs w:val="16"/>
          <w:color w:val="auto"/>
        </w:rPr>
      </w:pPr>
    </w:p>
    <w:p>
      <w:pPr>
        <w:ind w:left="1180" w:right="1140" w:hanging="413"/>
        <w:spacing w:after="0" w:line="293"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change in fair value of financial instruments including derivatives since it does not reflect our core operations and is a non-cash expense;</w:t>
      </w:r>
    </w:p>
    <w:p>
      <w:pPr>
        <w:spacing w:after="0" w:line="77" w:lineRule="exact"/>
        <w:rPr>
          <w:rFonts w:ascii="Arial" w:cs="Arial" w:eastAsia="Arial" w:hAnsi="Arial"/>
          <w:sz w:val="16"/>
          <w:szCs w:val="16"/>
          <w:color w:val="auto"/>
        </w:rPr>
      </w:pPr>
    </w:p>
    <w:p>
      <w:pPr>
        <w:ind w:left="1180" w:hanging="413"/>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income tax expense that affects cash available to us; and</w:t>
      </w:r>
    </w:p>
    <w:p>
      <w:pPr>
        <w:spacing w:after="0" w:line="140" w:lineRule="exact"/>
        <w:rPr>
          <w:rFonts w:ascii="Arial" w:cs="Arial" w:eastAsia="Arial" w:hAnsi="Arial"/>
          <w:sz w:val="16"/>
          <w:szCs w:val="16"/>
          <w:color w:val="auto"/>
        </w:rPr>
      </w:pPr>
    </w:p>
    <w:p>
      <w:pPr>
        <w:ind w:left="1180" w:right="1080" w:hanging="413"/>
        <w:spacing w:after="0" w:line="293"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calculations of adjusted EBITDA may differ from the expenses and other items, if any, that other companies may exclude from adjusted EBITDA when they report their operating results.</w:t>
      </w:r>
    </w:p>
    <w:p>
      <w:pPr>
        <w:spacing w:after="0" w:line="131" w:lineRule="exact"/>
        <w:rPr>
          <w:sz w:val="20"/>
          <w:szCs w:val="20"/>
          <w:color w:val="auto"/>
        </w:rPr>
      </w:pPr>
    </w:p>
    <w:p>
      <w:pPr>
        <w:ind w:left="260" w:right="360" w:firstLine="436"/>
        <w:spacing w:after="0" w:line="293" w:lineRule="auto"/>
        <w:rPr>
          <w:sz w:val="20"/>
          <w:szCs w:val="20"/>
          <w:color w:val="auto"/>
        </w:rPr>
      </w:pPr>
      <w:r>
        <w:rPr>
          <w:rFonts w:ascii="Arial" w:cs="Arial" w:eastAsia="Arial" w:hAnsi="Arial"/>
          <w:sz w:val="16"/>
          <w:szCs w:val="16"/>
          <w:color w:val="auto"/>
        </w:rPr>
        <w:t>In addition, other companies may use other measures to evaluate their performance, all of which could reduce the usefulness of our non-GAAP financial measures as tools for comparison.</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a reconciliation of net loss to adjusted EBITDA for each of the periods indicated:</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4800" w:type="dxa"/>
            <w:vAlign w:val="bottom"/>
            <w:tcBorders>
              <w:bottom w:val="single" w:sz="8" w:color="CFF0FC"/>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18"/>
                <w:szCs w:val="18"/>
                <w:color w:val="auto"/>
              </w:rPr>
            </w:pPr>
          </w:p>
        </w:tc>
      </w:tr>
      <w:tr>
        <w:trPr>
          <w:trHeight w:val="212"/>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(37,560)</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(42,590)</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(38,878)</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Stock-based compensation expense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2,071</w:t>
            </w:r>
          </w:p>
        </w:tc>
        <w:tc>
          <w:tcPr>
            <w:tcW w:w="80" w:type="dxa"/>
            <w:vAlign w:val="bottom"/>
          </w:tcPr>
          <w:p>
            <w:pPr>
              <w:spacing w:after="0"/>
              <w:rPr>
                <w:sz w:val="18"/>
                <w:szCs w:val="18"/>
                <w:color w:val="auto"/>
              </w:rPr>
            </w:pPr>
          </w:p>
        </w:tc>
      </w:tr>
      <w:tr>
        <w:trPr>
          <w:trHeight w:val="219"/>
        </w:trPr>
        <w:tc>
          <w:tcPr>
            <w:tcW w:w="4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Payroll tax associated with stock-based compensation expense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18"/>
                <w:szCs w:val="18"/>
                <w:color w:val="auto"/>
              </w:rPr>
            </w:pPr>
          </w:p>
        </w:tc>
      </w:tr>
      <w:tr>
        <w:trPr>
          <w:trHeight w:val="219"/>
        </w:trPr>
        <w:tc>
          <w:tcPr>
            <w:tcW w:w="4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Interest income</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(653)</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1,489</w:t>
            </w:r>
          </w:p>
        </w:tc>
        <w:tc>
          <w:tcPr>
            <w:tcW w:w="80" w:type="dxa"/>
            <w:vAlign w:val="bottom"/>
          </w:tcPr>
          <w:p>
            <w:pPr>
              <w:spacing w:after="0"/>
              <w:rPr>
                <w:sz w:val="18"/>
                <w:szCs w:val="18"/>
                <w:color w:val="auto"/>
              </w:rPr>
            </w:pPr>
          </w:p>
        </w:tc>
      </w:tr>
      <w:tr>
        <w:trPr>
          <w:trHeight w:val="219"/>
        </w:trPr>
        <w:tc>
          <w:tcPr>
            <w:tcW w:w="48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Change in fair value of financial instrument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(4,413)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r>
      <w:tr>
        <w:trPr>
          <w:trHeight w:val="213"/>
        </w:trPr>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Provision for income taxes</w:t>
            </w: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FF0FC"/>
            </w:tcBorders>
          </w:tcPr>
          <w:p>
            <w:pPr>
              <w:spacing w:after="0"/>
              <w:rPr>
                <w:sz w:val="18"/>
                <w:szCs w:val="18"/>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(24,512)</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(35,470)</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(34,117)</w:t>
            </w: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ind w:left="740" w:hanging="368"/>
        <w:spacing w:after="0" w:line="278"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financial measure is not calculated in accordance with GAAP. See “Selected Financial Data—Non-GAAP financial measures” for information regarding our use of this non-GAAP financial measure and a reconciliation of such measure to its nearest comparable financial measure calculated and presented in accordance with GAAP.</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06"/>
        </w:trPr>
        <w:tc>
          <w:tcPr>
            <w:tcW w:w="4520" w:type="dxa"/>
            <w:vAlign w:val="bottom"/>
            <w:gridSpan w:val="2"/>
          </w:tcPr>
          <w:p>
            <w:pPr>
              <w:spacing w:after="0"/>
              <w:rPr>
                <w:sz w:val="20"/>
                <w:szCs w:val="20"/>
                <w:color w:val="auto"/>
              </w:rPr>
            </w:pPr>
            <w:r>
              <w:rPr>
                <w:rFonts w:ascii="Arial" w:cs="Arial" w:eastAsia="Arial" w:hAnsi="Arial"/>
                <w:sz w:val="16"/>
                <w:szCs w:val="16"/>
                <w:color w:val="auto"/>
              </w:rPr>
              <w:t>Consolidated Balance Sheet Data:</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9"/>
        </w:trPr>
        <w:tc>
          <w:tcPr>
            <w:tcW w:w="620" w:type="dxa"/>
            <w:vAlign w:val="bottom"/>
          </w:tcPr>
          <w:p>
            <w:pPr>
              <w:spacing w:after="0"/>
              <w:rPr>
                <w:sz w:val="24"/>
                <w:szCs w:val="24"/>
                <w:color w:val="auto"/>
              </w:rPr>
            </w:pPr>
          </w:p>
        </w:tc>
        <w:tc>
          <w:tcPr>
            <w:tcW w:w="3900" w:type="dxa"/>
            <w:vAlign w:val="bottom"/>
            <w:tcBorders>
              <w:bottom w:val="single" w:sz="8" w:color="CFF0FC"/>
            </w:tcBorders>
          </w:tcPr>
          <w:p>
            <w:pPr>
              <w:spacing w:after="0"/>
              <w:rPr>
                <w:sz w:val="24"/>
                <w:szCs w:val="24"/>
                <w:color w:val="auto"/>
              </w:rPr>
            </w:pPr>
          </w:p>
        </w:tc>
        <w:tc>
          <w:tcPr>
            <w:tcW w:w="142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CFF0FC"/>
            </w:tcBorders>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3"/>
        </w:trPr>
        <w:tc>
          <w:tcPr>
            <w:tcW w:w="620" w:type="dxa"/>
            <w:vAlign w:val="bottom"/>
          </w:tcPr>
          <w:p>
            <w:pPr>
              <w:spacing w:after="0"/>
              <w:rPr>
                <w:sz w:val="18"/>
                <w:szCs w:val="18"/>
                <w:color w:val="auto"/>
              </w:rPr>
            </w:pPr>
          </w:p>
        </w:tc>
        <w:tc>
          <w:tcPr>
            <w:tcW w:w="39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219,447</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7,795</w:t>
            </w:r>
          </w:p>
        </w:tc>
        <w:tc>
          <w:tcPr>
            <w:tcW w:w="14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12,793</w:t>
            </w:r>
          </w:p>
        </w:tc>
        <w:tc>
          <w:tcPr>
            <w:tcW w:w="80" w:type="dxa"/>
            <w:vAlign w:val="bottom"/>
          </w:tcPr>
          <w:p>
            <w:pPr>
              <w:spacing w:after="0"/>
              <w:rPr>
                <w:sz w:val="18"/>
                <w:szCs w:val="18"/>
                <w:color w:val="auto"/>
              </w:rPr>
            </w:pPr>
          </w:p>
        </w:tc>
      </w:tr>
      <w:tr>
        <w:trPr>
          <w:trHeight w:val="219"/>
        </w:trPr>
        <w:tc>
          <w:tcPr>
            <w:tcW w:w="620" w:type="dxa"/>
            <w:vAlign w:val="bottom"/>
          </w:tcPr>
          <w:p>
            <w:pPr>
              <w:spacing w:after="0"/>
              <w:rPr>
                <w:sz w:val="19"/>
                <w:szCs w:val="19"/>
                <w:color w:val="auto"/>
              </w:rPr>
            </w:pPr>
          </w:p>
        </w:tc>
        <w:tc>
          <w:tcPr>
            <w:tcW w:w="3900" w:type="dxa"/>
            <w:vAlign w:val="bottom"/>
            <w:shd w:val="clear" w:color="auto" w:fill="CFF0FC"/>
          </w:tcPr>
          <w:p>
            <w:pPr>
              <w:ind w:left="240"/>
              <w:spacing w:after="0" w:line="218" w:lineRule="exact"/>
              <w:rPr>
                <w:sz w:val="20"/>
                <w:szCs w:val="20"/>
                <w:color w:val="auto"/>
              </w:rPr>
            </w:pPr>
            <w:r>
              <w:rPr>
                <w:rFonts w:ascii="Arial" w:cs="Arial" w:eastAsia="Arial" w:hAnsi="Arial"/>
                <w:sz w:val="15"/>
                <w:szCs w:val="15"/>
                <w:color w:val="auto"/>
              </w:rPr>
              <w:t xml:space="preserve">Working capital </w:t>
            </w:r>
            <w:r>
              <w:rPr>
                <w:rFonts w:ascii="Arial" w:cs="Arial" w:eastAsia="Arial" w:hAnsi="Arial"/>
                <w:sz w:val="25"/>
                <w:szCs w:val="25"/>
                <w:color w:val="auto"/>
                <w:vertAlign w:val="superscript"/>
              </w:rPr>
              <w:t>(1)</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208,185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(2,243)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25,483</w:t>
            </w:r>
          </w:p>
        </w:tc>
        <w:tc>
          <w:tcPr>
            <w:tcW w:w="80" w:type="dxa"/>
            <w:vAlign w:val="bottom"/>
            <w:shd w:val="clear" w:color="auto" w:fill="CFF0FC"/>
          </w:tcPr>
          <w:p>
            <w:pPr>
              <w:spacing w:after="0"/>
              <w:rPr>
                <w:sz w:val="19"/>
                <w:szCs w:val="19"/>
                <w:color w:val="auto"/>
              </w:rPr>
            </w:pPr>
          </w:p>
        </w:tc>
      </w:tr>
      <w:tr>
        <w:trPr>
          <w:trHeight w:val="213"/>
        </w:trPr>
        <w:tc>
          <w:tcPr>
            <w:tcW w:w="620" w:type="dxa"/>
            <w:vAlign w:val="bottom"/>
          </w:tcPr>
          <w:p>
            <w:pPr>
              <w:spacing w:after="0"/>
              <w:rPr>
                <w:sz w:val="18"/>
                <w:szCs w:val="18"/>
                <w:color w:val="auto"/>
              </w:rPr>
            </w:pPr>
          </w:p>
        </w:tc>
        <w:tc>
          <w:tcPr>
            <w:tcW w:w="390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276,626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56,064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59,104</w:t>
            </w:r>
          </w:p>
        </w:tc>
        <w:tc>
          <w:tcPr>
            <w:tcW w:w="80" w:type="dxa"/>
            <w:vAlign w:val="bottom"/>
          </w:tcPr>
          <w:p>
            <w:pPr>
              <w:spacing w:after="0"/>
              <w:rPr>
                <w:sz w:val="18"/>
                <w:szCs w:val="18"/>
                <w:color w:val="auto"/>
              </w:rPr>
            </w:pPr>
          </w:p>
        </w:tc>
      </w:tr>
      <w:tr>
        <w:trPr>
          <w:trHeight w:val="219"/>
        </w:trPr>
        <w:tc>
          <w:tcPr>
            <w:tcW w:w="6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liabilities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59,867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54,134</w:t>
            </w:r>
          </w:p>
        </w:tc>
        <w:tc>
          <w:tcPr>
            <w:tcW w:w="80" w:type="dxa"/>
            <w:vAlign w:val="bottom"/>
            <w:shd w:val="clear" w:color="auto" w:fill="CFF0FC"/>
          </w:tcPr>
          <w:p>
            <w:pPr>
              <w:spacing w:after="0"/>
              <w:rPr>
                <w:sz w:val="19"/>
                <w:szCs w:val="19"/>
                <w:color w:val="auto"/>
              </w:rPr>
            </w:pPr>
          </w:p>
        </w:tc>
      </w:tr>
      <w:tr>
        <w:trPr>
          <w:trHeight w:val="213"/>
        </w:trPr>
        <w:tc>
          <w:tcPr>
            <w:tcW w:w="620" w:type="dxa"/>
            <w:vAlign w:val="bottom"/>
          </w:tcPr>
          <w:p>
            <w:pPr>
              <w:spacing w:after="0"/>
              <w:rPr>
                <w:sz w:val="18"/>
                <w:szCs w:val="18"/>
                <w:color w:val="auto"/>
              </w:rPr>
            </w:pPr>
          </w:p>
        </w:tc>
        <w:tc>
          <w:tcPr>
            <w:tcW w:w="3900" w:type="dxa"/>
            <w:vAlign w:val="bottom"/>
          </w:tcPr>
          <w:p>
            <w:pPr>
              <w:ind w:left="240"/>
              <w:spacing w:after="0"/>
              <w:rPr>
                <w:sz w:val="20"/>
                <w:szCs w:val="20"/>
                <w:color w:val="auto"/>
              </w:rPr>
            </w:pPr>
            <w:r>
              <w:rPr>
                <w:rFonts w:ascii="Arial" w:cs="Arial" w:eastAsia="Arial" w:hAnsi="Arial"/>
                <w:sz w:val="16"/>
                <w:szCs w:val="16"/>
                <w:color w:val="auto"/>
              </w:rPr>
              <w:t>Convertible preferred stock</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216,446</w:t>
            </w:r>
          </w:p>
        </w:tc>
        <w:tc>
          <w:tcPr>
            <w:tcW w:w="80" w:type="dxa"/>
            <w:vAlign w:val="bottom"/>
          </w:tcPr>
          <w:p>
            <w:pPr>
              <w:spacing w:after="0"/>
              <w:rPr>
                <w:sz w:val="18"/>
                <w:szCs w:val="18"/>
                <w:color w:val="auto"/>
              </w:rPr>
            </w:pPr>
          </w:p>
        </w:tc>
      </w:tr>
      <w:tr>
        <w:trPr>
          <w:trHeight w:val="219"/>
        </w:trPr>
        <w:tc>
          <w:tcPr>
            <w:tcW w:w="620" w:type="dxa"/>
            <w:vAlign w:val="bottom"/>
          </w:tcPr>
          <w:p>
            <w:pPr>
              <w:spacing w:after="0"/>
              <w:rPr>
                <w:sz w:val="19"/>
                <w:szCs w:val="19"/>
                <w:color w:val="auto"/>
              </w:rPr>
            </w:pPr>
          </w:p>
        </w:tc>
        <w:tc>
          <w:tcPr>
            <w:tcW w:w="39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stockholders' equity (deficit)</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216,759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(257,303)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(211,476)</w:t>
            </w:r>
          </w:p>
        </w:tc>
      </w:tr>
    </w:tbl>
    <w:p>
      <w:pPr>
        <w:spacing w:after="0" w:line="206" w:lineRule="exact"/>
        <w:rPr>
          <w:sz w:val="20"/>
          <w:szCs w:val="20"/>
          <w:color w:val="auto"/>
        </w:rPr>
      </w:pPr>
    </w:p>
    <w:p>
      <w:pPr>
        <w:ind w:left="740" w:hanging="368"/>
        <w:spacing w:after="0"/>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126" w:right="61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1" w:lineRule="exact"/>
        <w:rPr>
          <w:sz w:val="20"/>
          <w:szCs w:val="20"/>
          <w:color w:val="auto"/>
        </w:rPr>
      </w:pPr>
    </w:p>
    <w:p>
      <w:pPr>
        <w:ind w:right="140" w:firstLine="510"/>
        <w:spacing w:after="0" w:line="27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“Risk Factors.” See “Special Note Regarding Forward-Looking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BigCommerce is leading a new era of ecommerce. Our SaaS platform simplifies the creation of beautiful, engaging online stores by delivering a unique combination of ease-of-use, enterprise functionality, and flexibility. We allow merchants to build their ecommerce solution their way with the freedom of choice that makes the most sense for their unique business and product offerings. We power both our customers’ branded ecommerce stores and their cross-channel connections to popular online marketplaces, social networks, and offline POS systems. As of December 31, 2020, we served approximately 60,000 online stores across industries in approximately 155 countries.</w:t>
      </w:r>
    </w:p>
    <w:p>
      <w:pPr>
        <w:spacing w:after="0" w:line="190" w:lineRule="exact"/>
        <w:rPr>
          <w:sz w:val="20"/>
          <w:szCs w:val="20"/>
          <w:color w:val="auto"/>
        </w:rPr>
      </w:pPr>
    </w:p>
    <w:p>
      <w:pPr>
        <w:ind w:right="40" w:firstLine="395"/>
        <w:spacing w:after="0" w:line="297" w:lineRule="auto"/>
        <w:rPr>
          <w:sz w:val="20"/>
          <w:szCs w:val="20"/>
          <w:color w:val="auto"/>
        </w:rPr>
      </w:pPr>
      <w:r>
        <w:rPr>
          <w:rFonts w:ascii="Arial" w:cs="Arial" w:eastAsia="Arial" w:hAnsi="Arial"/>
          <w:sz w:val="15"/>
          <w:szCs w:val="15"/>
          <w:color w:val="auto"/>
        </w:rPr>
        <w:t>We provide a comprehensive platform for launching and scaling an ecommerce operation, including store design, catalog management, hosting, checkout, order management, reporting, and pre-integration into third-party services like payments, shipping, and accounting. All our stores run on a single code base and share a global, multi-tenant architecture purpose built for security, high performance, and innovation. Our platform serves stores in a wide variety of sizes, product categories, and purchase types, including B2C and B2B. Our customers include Avery Dennison, Ben &amp; Jerry’s, Burrow, SC Johnson, SkullCandy, and Sony.</w:t>
      </w:r>
    </w:p>
    <w:p>
      <w:pPr>
        <w:spacing w:after="0" w:line="172" w:lineRule="exact"/>
        <w:rPr>
          <w:sz w:val="20"/>
          <w:szCs w:val="20"/>
          <w:color w:val="auto"/>
        </w:rPr>
      </w:pPr>
    </w:p>
    <w:p>
      <w:pPr>
        <w:ind w:right="140" w:firstLine="395"/>
        <w:spacing w:after="0" w:line="273" w:lineRule="auto"/>
        <w:rPr>
          <w:sz w:val="20"/>
          <w:szCs w:val="20"/>
          <w:color w:val="auto"/>
        </w:rPr>
      </w:pPr>
      <w:r>
        <w:rPr>
          <w:rFonts w:ascii="Arial" w:cs="Arial" w:eastAsia="Arial" w:hAnsi="Arial"/>
          <w:sz w:val="16"/>
          <w:szCs w:val="16"/>
          <w:color w:val="auto"/>
        </w:rPr>
        <w:t>We offer access to our platform on a subscription basis. We serve customers with subscription plans tailored to their size and feature needs. For our larger customers, our Enterprise plan offers our full feature set at a monthly subscription price tailored to each business. For SMBs, BigCommerce Essentials offers three retail plans: Standard, Plus, and Pro, priced at $29.95, $79.95, and $299.95 per month, respectively. Our Essentials plans include GMV thresholds with programmatic upgrades built in as merchants exceed each plan’s threshold.</w:t>
      </w:r>
    </w:p>
    <w:p>
      <w:pPr>
        <w:spacing w:after="0" w:line="189" w:lineRule="exact"/>
        <w:rPr>
          <w:sz w:val="20"/>
          <w:szCs w:val="20"/>
          <w:color w:val="auto"/>
        </w:rPr>
      </w:pPr>
    </w:p>
    <w:p>
      <w:pPr>
        <w:ind w:right="80" w:firstLine="395"/>
        <w:spacing w:after="0" w:line="293" w:lineRule="auto"/>
        <w:rPr>
          <w:sz w:val="20"/>
          <w:szCs w:val="20"/>
          <w:color w:val="auto"/>
        </w:rPr>
      </w:pPr>
      <w:r>
        <w:rPr>
          <w:rFonts w:ascii="Arial" w:cs="Arial" w:eastAsia="Arial" w:hAnsi="Arial"/>
          <w:sz w:val="15"/>
          <w:szCs w:val="15"/>
          <w:color w:val="auto"/>
        </w:rPr>
        <w:t>Partners are essential to our open strategy. We believe we possess one of the deepest and broadest ecosystems of integrated technology solutions in the ecommerce industry. We strategically partner with, rather than compete against, the leading providers in adjacent categories, including payments, shipping, POS, CMS, CRM, and ERP. We focus our research and development investments in our core product to create a best-of-breed ecommerce platform and co-market and co-sell with our strategic technology partners to enhance the breadth of the product offering to our customers. As a result, we earn high-margin revenue share from a subset of our strategic technology partners, which complements the high gross margin of our core ecommerce platform.</w:t>
      </w:r>
    </w:p>
    <w:p>
      <w:pPr>
        <w:spacing w:after="0" w:line="176" w:lineRule="exact"/>
        <w:rPr>
          <w:sz w:val="20"/>
          <w:szCs w:val="20"/>
          <w:color w:val="auto"/>
        </w:rPr>
      </w:pPr>
    </w:p>
    <w:p>
      <w:pPr>
        <w:ind w:right="80" w:firstLine="395"/>
        <w:spacing w:after="0" w:line="324" w:lineRule="auto"/>
        <w:rPr>
          <w:sz w:val="20"/>
          <w:szCs w:val="20"/>
          <w:color w:val="auto"/>
        </w:rPr>
      </w:pPr>
      <w:r>
        <w:rPr>
          <w:rFonts w:ascii="Arial" w:cs="Arial" w:eastAsia="Arial" w:hAnsi="Arial"/>
          <w:sz w:val="14"/>
          <w:szCs w:val="14"/>
          <w:color w:val="auto"/>
        </w:rPr>
        <w:t>Our business has achieved significant growth since our inception. We had total revenues of $152.4 million, $112.1 million and $91.9 million in 2020, 2019 and 2018, respectively. We plan to continue to invest in our “Open SaaS” strategy, building new partnerships and continuing to develop a platform that offers best-of-breed functionality with the cost-effectiveness of multi-tenant SaaS. As we work to develop and deliver this platform for our customers, we will also invest and grow our business by acquiring additional customers to our platform, growing our revenue with existing customers, and expanding our presence in new segments and geographies.</w:t>
      </w:r>
    </w:p>
    <w:p>
      <w:pPr>
        <w:spacing w:after="0" w:line="157" w:lineRule="exact"/>
        <w:rPr>
          <w:sz w:val="20"/>
          <w:szCs w:val="20"/>
          <w:color w:val="auto"/>
        </w:rPr>
      </w:pPr>
    </w:p>
    <w:p>
      <w:pPr>
        <w:ind w:right="520" w:firstLine="510"/>
        <w:spacing w:after="0" w:line="293" w:lineRule="auto"/>
        <w:rPr>
          <w:sz w:val="20"/>
          <w:szCs w:val="20"/>
          <w:color w:val="auto"/>
        </w:rPr>
      </w:pPr>
      <w:r>
        <w:rPr>
          <w:rFonts w:ascii="Arial" w:cs="Arial" w:eastAsia="Arial" w:hAnsi="Arial"/>
          <w:sz w:val="16"/>
          <w:szCs w:val="16"/>
          <w:color w:val="auto"/>
        </w:rPr>
        <w:t>As a result of the global travel restrictions and stay-at-home or similar orders in effect due to the COVID-19 pandemic, our sales and marketing, research and development, and general and administrative expenses declined as a percentage of revenue in the year ended December 31, 2020.</w:t>
      </w:r>
    </w:p>
    <w:p>
      <w:pPr>
        <w:spacing w:after="0" w:line="172" w:lineRule="exact"/>
        <w:rPr>
          <w:sz w:val="20"/>
          <w:szCs w:val="20"/>
          <w:color w:val="auto"/>
        </w:rPr>
      </w:pPr>
    </w:p>
    <w:p>
      <w:pPr>
        <w:ind w:right="120" w:firstLine="510"/>
        <w:spacing w:after="0" w:line="297" w:lineRule="auto"/>
        <w:rPr>
          <w:sz w:val="20"/>
          <w:szCs w:val="20"/>
          <w:color w:val="auto"/>
        </w:rPr>
      </w:pPr>
      <w:r>
        <w:rPr>
          <w:rFonts w:ascii="Arial" w:cs="Arial" w:eastAsia="Arial" w:hAnsi="Arial"/>
          <w:sz w:val="15"/>
          <w:szCs w:val="15"/>
          <w:color w:val="auto"/>
        </w:rPr>
        <w:t>On August 4, 2020, we completed our IPO, in which we issued and sold 7,877,500 shares of our Series 1 common stock, including 1,027,500 shares of Series 1 common stock that were sold pursuant to the exercise in full of the underwriters’ option to purchase additional shares of Series 1 common stock at $24.00 per share. The IPO resulted in net proceeds of $171.1 million after deducting underwriting discounts and commissions and other offering costs. Our 2017 and 2020 Term Loans converted to Series 1 Common Stock in connection with the IPO, resulting in a $53.9 million reduction of our outstanding long-term debt.</w:t>
      </w:r>
    </w:p>
    <w:p>
      <w:pPr>
        <w:spacing w:after="0" w:line="375" w:lineRule="exact"/>
        <w:rPr>
          <w:sz w:val="20"/>
          <w:szCs w:val="20"/>
          <w:color w:val="auto"/>
        </w:rPr>
      </w:pPr>
    </w:p>
    <w:p>
      <w:pPr>
        <w:jc w:val="both"/>
        <w:ind w:firstLine="468"/>
        <w:spacing w:after="0" w:line="269" w:lineRule="auto"/>
        <w:rPr>
          <w:sz w:val="20"/>
          <w:szCs w:val="20"/>
          <w:color w:val="auto"/>
        </w:rPr>
      </w:pPr>
      <w:r>
        <w:rPr>
          <w:rFonts w:ascii="Arial" w:cs="Arial" w:eastAsia="Arial" w:hAnsi="Arial"/>
          <w:sz w:val="16"/>
          <w:szCs w:val="16"/>
          <w:color w:val="auto"/>
        </w:rPr>
        <w:t>On November 12, 2020, we completed our Secondary Offering, in which we issued and sold 1,000,000 shares of our Series 1 common stock at $68.00 per share. The Secondary Offering resulted in net proceeds of $65.1 million after deducting underwriting discounts, commissions and other offering costs. Existing stockholders sold an additional 4,750,000 shares of Series 1 common stock, including 750,000 shares of Series 1 common stock that were sold pursuant to the exercise in full of the underwriters’ option to purchase additional shares of Series 1 common stock at $68.00 per share. We did not receive any proceeds from the sale of shares by the selling stockholders in the Secondary Offering. Additionally, upon completion of the Secondary Offering, we fully repaid approximately $22 million of our outstanding indebtedness under our Credit Facility.</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believe our future performance will depend on many factors, including the following:</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growth of ecommerce domestically and globally</w:t>
      </w:r>
    </w:p>
    <w:p>
      <w:pPr>
        <w:spacing w:after="0" w:line="127" w:lineRule="exact"/>
        <w:rPr>
          <w:sz w:val="20"/>
          <w:szCs w:val="20"/>
          <w:color w:val="auto"/>
        </w:rPr>
      </w:pPr>
    </w:p>
    <w:p>
      <w:pPr>
        <w:jc w:val="both"/>
        <w:ind w:right="340" w:firstLine="510"/>
        <w:spacing w:after="0" w:line="297" w:lineRule="auto"/>
        <w:rPr>
          <w:sz w:val="20"/>
          <w:szCs w:val="20"/>
          <w:color w:val="auto"/>
        </w:rPr>
      </w:pPr>
      <w:r>
        <w:rPr>
          <w:rFonts w:ascii="Arial" w:cs="Arial" w:eastAsia="Arial" w:hAnsi="Arial"/>
          <w:sz w:val="15"/>
          <w:szCs w:val="15"/>
          <w:color w:val="auto"/>
        </w:rPr>
        <w:t>Ecommerce is rapidly transforming global B2C and B2B commerce. B2C ecommerce was nonexistent in the early-1990s and grew to approximately 10% of all global retail spending in 2017, according to eMarketer. eMarketer estimates that it will take just six years for this percentage to more than double to 21% of global retail spending in 2023. The rapid growth in ecommerce is prompting companies to adopt ecommerce platforms like BigCommerce to create compelling branded ecommerce stores and power cross-channel connections to online marketplaces, social networks, and offline POS systems.</w:t>
      </w:r>
    </w:p>
    <w:p>
      <w:pPr>
        <w:spacing w:after="0" w:line="172"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We believe we have a substantial opportunity to serve a larger number of customers as ecommerce continues to grow around the world by extending into new and emerging segments within ecommerce. The following segments are significant areas of potential growth and strategic focus for us:</w:t>
      </w:r>
    </w:p>
    <w:p>
      <w:pPr>
        <w:spacing w:after="0" w:line="60" w:lineRule="exact"/>
        <w:rPr>
          <w:sz w:val="20"/>
          <w:szCs w:val="20"/>
          <w:color w:val="auto"/>
        </w:rPr>
      </w:pPr>
    </w:p>
    <w:p>
      <w:pPr>
        <w:jc w:val="both"/>
        <w:ind w:left="1000" w:right="60" w:hanging="493"/>
        <w:spacing w:after="0" w:line="275"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Headless commerce</w:t>
      </w:r>
      <w:r>
        <w:rPr>
          <w:rFonts w:ascii="Arial" w:cs="Arial" w:eastAsia="Arial" w:hAnsi="Arial"/>
          <w:sz w:val="16"/>
          <w:szCs w:val="16"/>
          <w:color w:val="auto"/>
        </w:rPr>
        <w:t>. This refers to businesses whose technology strategy is to decouple their front-end customer experience technology from their back-end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commerce platform. In terms of online strategy, these companies are typically brand-, marketing-, or experience-led. We serve headless use cases better than most of our competitors due to years of investment in our platform APIs and integration capabilities. Pre-built integrations connect our platform with leading CMSs such as Acquia, Adobe, Bloomreach, Drupal, Sitecore, and WordPress.</w:t>
      </w:r>
    </w:p>
    <w:p>
      <w:pPr>
        <w:spacing w:after="0" w:line="74" w:lineRule="exact"/>
        <w:rPr>
          <w:rFonts w:ascii="Arial" w:cs="Arial" w:eastAsia="Arial" w:hAnsi="Arial"/>
          <w:sz w:val="16"/>
          <w:szCs w:val="16"/>
          <w:color w:val="auto"/>
        </w:rPr>
      </w:pPr>
    </w:p>
    <w:p>
      <w:pPr>
        <w:ind w:left="1000" w:right="60" w:hanging="493"/>
        <w:spacing w:after="0" w:line="275"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B2B</w:t>
      </w:r>
      <w:r>
        <w:rPr>
          <w:rFonts w:ascii="Arial" w:cs="Arial" w:eastAsia="Arial" w:hAnsi="Arial"/>
          <w:sz w:val="16"/>
          <w:szCs w:val="16"/>
          <w:color w:val="auto"/>
        </w:rPr>
        <w:t>. As of December 31, 2020, approximately 10% of our customers use BigCommerce primarily for B2B sales. In many cases, these customers’ needs are</w:t>
      </w:r>
      <w:r>
        <w:rPr>
          <w:rFonts w:ascii="Arial" w:cs="Arial" w:eastAsia="Arial" w:hAnsi="Arial"/>
          <w:sz w:val="16"/>
          <w:szCs w:val="16"/>
          <w:b w:val="1"/>
          <w:bCs w:val="1"/>
          <w:color w:val="auto"/>
        </w:rPr>
        <w:t xml:space="preserve"> </w:t>
      </w:r>
      <w:r>
        <w:rPr>
          <w:rFonts w:ascii="Arial" w:cs="Arial" w:eastAsia="Arial" w:hAnsi="Arial"/>
          <w:sz w:val="16"/>
          <w:szCs w:val="16"/>
          <w:color w:val="auto"/>
        </w:rPr>
        <w:t>met using our native functionality, including B2B features like customer groups and price lists. In other cases, these customers complement BigCommerce with purpose-built B2B extensions and applications in the BigCommerce Apps Marketplace. Over time, we intend to add more B2B functionality to both the BigCommerce Apps Marketplace and our native feature set.</w:t>
      </w:r>
    </w:p>
    <w:p>
      <w:pPr>
        <w:spacing w:after="0" w:line="74" w:lineRule="exact"/>
        <w:rPr>
          <w:rFonts w:ascii="Arial" w:cs="Arial" w:eastAsia="Arial" w:hAnsi="Arial"/>
          <w:sz w:val="16"/>
          <w:szCs w:val="16"/>
          <w:color w:val="auto"/>
        </w:rPr>
      </w:pPr>
    </w:p>
    <w:p>
      <w:pPr>
        <w:ind w:left="1000" w:right="200" w:hanging="493"/>
        <w:spacing w:after="0" w:line="298"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Large enterprise</w:t>
      </w:r>
      <w:r>
        <w:rPr>
          <w:rFonts w:ascii="Arial" w:cs="Arial" w:eastAsia="Arial" w:hAnsi="Arial"/>
          <w:sz w:val="16"/>
          <w:szCs w:val="16"/>
          <w:color w:val="auto"/>
        </w:rPr>
        <w:t>. Increasingly, we are successfully competing for large enterprise sites selling more than $50 million annually online, with our Enterprise</w:t>
      </w:r>
      <w:r>
        <w:rPr>
          <w:rFonts w:ascii="Arial" w:cs="Arial" w:eastAsia="Arial" w:hAnsi="Arial"/>
          <w:sz w:val="16"/>
          <w:szCs w:val="16"/>
          <w:b w:val="1"/>
          <w:bCs w:val="1"/>
          <w:color w:val="auto"/>
        </w:rPr>
        <w:t xml:space="preserve"> </w:t>
      </w:r>
      <w:r>
        <w:rPr>
          <w:rFonts w:ascii="Arial" w:cs="Arial" w:eastAsia="Arial" w:hAnsi="Arial"/>
          <w:sz w:val="16"/>
          <w:szCs w:val="16"/>
          <w:color w:val="auto"/>
        </w:rPr>
        <w:t>plan product feature set, along with our sales, marketing, solutioning, and service capabilities.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Efficient acquisition of new customers</w:t>
      </w:r>
    </w:p>
    <w:p>
      <w:pPr>
        <w:spacing w:after="0" w:line="127" w:lineRule="exact"/>
        <w:rPr>
          <w:sz w:val="20"/>
          <w:szCs w:val="20"/>
          <w:color w:val="auto"/>
        </w:rPr>
      </w:pPr>
    </w:p>
    <w:p>
      <w:pPr>
        <w:ind w:right="280" w:firstLine="510"/>
        <w:spacing w:after="0" w:line="328" w:lineRule="auto"/>
        <w:rPr>
          <w:sz w:val="20"/>
          <w:szCs w:val="20"/>
          <w:color w:val="auto"/>
        </w:rPr>
      </w:pPr>
      <w:r>
        <w:rPr>
          <w:rFonts w:ascii="Arial" w:cs="Arial" w:eastAsia="Arial" w:hAnsi="Arial"/>
          <w:sz w:val="15"/>
          <w:szCs w:val="15"/>
          <w:color w:val="auto"/>
        </w:rPr>
        <w:t>The growth of our customer base is important to our continued revenue growth. We believe we are positioned to grow significantly through a combination of our own marketing and sales initiatives, customer referrals from our agency and technology partners, and word-of-mouth referrals from existing customers.</w:t>
      </w:r>
    </w:p>
    <w:p>
      <w:pPr>
        <w:spacing w:after="0" w:line="150"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We measure the efficiency of new customer acquisition by comparing the lifetime value (“LTV”) of newly-acquired customers to the customer acquisition costs (“CAC”) of the associated time period to get an “LTV:CAC ratio.” We calculate LTV as gross profit from new sales during the four quarters of any given year divided by the estimated future subscription churn rate. We calculate CAC as total sales and marketing expense incurred during the associated preceding four quarters. New SMB, Mid-Market and Enterprise customers were added at an estimated LTV to CAC ratio of 4.9:1, up from 4.4:1 in 2019.</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Retention and growth of our existing customers</w:t>
      </w:r>
    </w:p>
    <w:p>
      <w:pPr>
        <w:spacing w:after="0" w:line="127" w:lineRule="exact"/>
        <w:rPr>
          <w:sz w:val="20"/>
          <w:szCs w:val="20"/>
          <w:color w:val="auto"/>
        </w:rPr>
      </w:pPr>
    </w:p>
    <w:p>
      <w:pPr>
        <w:ind w:firstLine="510"/>
        <w:spacing w:after="0" w:line="286" w:lineRule="auto"/>
        <w:rPr>
          <w:sz w:val="20"/>
          <w:szCs w:val="20"/>
          <w:color w:val="auto"/>
        </w:rPr>
      </w:pPr>
      <w:r>
        <w:rPr>
          <w:rFonts w:ascii="Arial" w:cs="Arial" w:eastAsia="Arial" w:hAnsi="Arial"/>
          <w:sz w:val="15"/>
          <w:szCs w:val="15"/>
          <w:color w:val="auto"/>
        </w:rPr>
        <w:t>We believe our long-term revenue growth is correlated with the growth of our existing customers’ ecommerce businesses. We strive to maintain industry-leading service levels and platform capabilities to maximize customer success and retention. Our revenue grows with that of our customers. As they generate more online sales, we generate more subscription revenue through automated sales-based upgrades on our Essentials plans and order adjustments on our Enterprise plans. Typical enterprise contracts have terms ranging from 12 to 36 months and do not include the ability to terminate for convenience. As our customers’ online sales increase, our partner and services revenue generated by revenue-sharing agreements with our strategic technology partners increases as well. Our ability to retain and grow our customers’ ecommerce businesses often depends on the continued expansion of our platform and the capabilities of our strategic technology partners to provide revenue generating services to our customers. We continually evaluate prospective and existing partners’ abilities to enhance the capabilities of our customers’ ecommerce businesses. We add new partners and expand existing partner relationships to enhance the utility of our platform, while creating new opportunities to expand our revenue share in partner and services revenue. As we continue to grow as a platform, we believe our ability to realize more favorable and expansive revenue share agreements will grow as well. We also grow by selling additional stores to existing customers. Our larger customers will often first use our platform to build a single online store that serves a single brand within their portfolio. These customers can then expand their usage of our platform by launching additional stores to serve additional brands, geographies, or use cases (e.g., B2B in addition to B2C).</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Successful rollout of new geographies</w:t>
      </w:r>
    </w:p>
    <w:p>
      <w:pPr>
        <w:spacing w:after="0" w:line="127" w:lineRule="exact"/>
        <w:rPr>
          <w:sz w:val="20"/>
          <w:szCs w:val="20"/>
          <w:color w:val="auto"/>
        </w:rPr>
      </w:pPr>
    </w:p>
    <w:p>
      <w:pPr>
        <w:ind w:right="120" w:firstLine="510"/>
        <w:spacing w:after="0" w:line="269" w:lineRule="auto"/>
        <w:rPr>
          <w:sz w:val="20"/>
          <w:szCs w:val="20"/>
          <w:color w:val="auto"/>
        </w:rPr>
      </w:pPr>
      <w:r>
        <w:rPr>
          <w:rFonts w:ascii="Arial" w:cs="Arial" w:eastAsia="Arial" w:hAnsi="Arial"/>
          <w:sz w:val="16"/>
          <w:szCs w:val="16"/>
          <w:color w:val="auto"/>
        </w:rPr>
        <w:t>We believe our platform can compete successfully around the world. We enhance usability in new geographies by translating our control panel into local languages and enabling the integration of local payment processors. We support the growth of mid-market and large enterprise customers around the world by expanding our regional sales and marketing capabilities. We opened our first European office in London, UK in 2018 and expanded it throughout 2019 and 2020, resulting in a 68% and 20% revenue growth rate in EMEA for the years ended December 31, 2020 and 2019, respectively. Similarly, we expanded our existing sales and marketing team in Sydney, Australia, resulting in a 38% and 28% revenue growth rate in APAC for the years ended December 31, 2020 and 2019, respectively. 2020 brought marked advancements in our international expansion strategy through the launch of new country-specific websites in France, Italy, the Netherlands, and more recently in Mexico, Germany and Spain. We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continue to invest in our global presence and in offering native language web experiences that further strengthen our ability to connect more directly with prospects and customers in each region.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Evolution of our technology partner ecosystem</w:t>
      </w:r>
    </w:p>
    <w:p>
      <w:pPr>
        <w:spacing w:after="0" w:line="127"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A key part of our strategy is to build a thriving technology partner ecosystem. We focus on collaborating with, not competing against, partners in our ecosystems. This strategy contrasts with our largest competitors, who operate software stacks with multiple vertically integrated adjacent services that potentially compete with offerings from technology partners in their ecosystems. Our customers benefit from the expertise and best-of-breed offerings of our partners, the flexibility to choose without penalty the best offerings for their needs, and the tailored programs developed with our strategic partners. Through significant investment, we have developed a marketplace of integrated application and technology solutions that is one of the largest of any ecommerce platform. Our partners currently offer more than 875 pre-built applications and integrations spanning major categories relevant to ecommerce, including shipping, tax, accounting and ERP, marketing, fulfillment, cross-channel commerce, and POS systems, with additional applications and integrations for merchandising, locations, and payments. We intend to grow partner-sourced revenue by expanding the value and scope of existing partnerships, selling and marketing partner solutions to our customer base, and acquiring and cultivating new, high-value relationships. Partner referrals of customers are increasingly becoming an efficient customer acquisition strategy for us as we expand our programs for cross-marketing and cross-selling with our partners.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Realizing operating leverage from our investments</w:t>
      </w:r>
    </w:p>
    <w:p>
      <w:pPr>
        <w:spacing w:after="0" w:line="127"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We have made significant investments in our SaaS platform and our global infrastructure, which we believe will yield future operating leverage and profit margin expansion. Research and development has historically been one of our largest operating expense categories. By opening and expanding a lower-cost engineering center in Kyiv, Ukraine, we are increasing development capacity while also driving leverage in engineering cost as a percentage of total revenue. In addition, we believe we will achieve operating leverage in marketing by continuing to emphasize lower-cost inbound techniques and growth in customer referrals from our technology and agency partners, especially as our revenue mix continues to shift to our enterprise plans. We believe we will be able to run our business more efficiently as we continue to grow our revenue and gain further operating scale.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Duration and durability of COVID-19’s impact on partner and services revenue</w:t>
      </w:r>
    </w:p>
    <w:p>
      <w:pPr>
        <w:spacing w:after="0" w:line="127" w:lineRule="exact"/>
        <w:rPr>
          <w:sz w:val="20"/>
          <w:szCs w:val="20"/>
          <w:color w:val="auto"/>
        </w:rPr>
      </w:pPr>
    </w:p>
    <w:p>
      <w:pPr>
        <w:jc w:val="both"/>
        <w:ind w:right="60" w:firstLine="510"/>
        <w:spacing w:after="0" w:line="303" w:lineRule="auto"/>
        <w:rPr>
          <w:sz w:val="20"/>
          <w:szCs w:val="20"/>
          <w:color w:val="auto"/>
        </w:rPr>
      </w:pPr>
      <w:r>
        <w:rPr>
          <w:rFonts w:ascii="Arial" w:cs="Arial" w:eastAsia="Arial" w:hAnsi="Arial"/>
          <w:sz w:val="14"/>
          <w:szCs w:val="14"/>
          <w:color w:val="auto"/>
        </w:rPr>
        <w:t>Ecommerce sales in our major markets have increased significantly due to the widespread closure of physical stores and behavioral changes associated with social distancing. This increase in sales has bolstered our partner and services revenue, driven predominantly by increases in our partner revenue share streams. We anticipate that our performance will be affected by the duration of COVID-19’s impact on physical stores and consumer preferences and the resulting increase in ecommerce sales.</w:t>
      </w:r>
    </w:p>
    <w:p>
      <w:pPr>
        <w:spacing w:after="0" w:line="2"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Additionally, we expect the widespread availability of treatment options to impact the trend toward ecommerce, which, in turn, may have a significant impact on our performance. We believe we are well-positioned to continue to benefit from the macro-economic shift to ecommerce that COVID-19 has accelerated, but revenue may be more variable in the near-term as a result.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31" w:lineRule="exact"/>
        <w:rPr>
          <w:sz w:val="20"/>
          <w:szCs w:val="20"/>
          <w:color w:val="auto"/>
        </w:rPr>
      </w:pPr>
    </w:p>
    <w:p>
      <w:pPr>
        <w:ind w:right="360" w:firstLine="510"/>
        <w:spacing w:after="0" w:line="293" w:lineRule="auto"/>
        <w:rPr>
          <w:sz w:val="20"/>
          <w:szCs w:val="20"/>
          <w:color w:val="auto"/>
        </w:rPr>
      </w:pPr>
      <w:r>
        <w:rPr>
          <w:rFonts w:ascii="Arial" w:cs="Arial" w:eastAsia="Arial" w:hAnsi="Arial"/>
          <w:sz w:val="16"/>
          <w:szCs w:val="16"/>
          <w:color w:val="auto"/>
        </w:rPr>
        <w:t>We review the following key business metrics to measure our performance, identify trends affecting our business, formulate business plans, and make strategic decisions. Increases or decreases in our key business metrics may not correspond with increases or decreases in our revenue.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revenue run-rate</w:t>
      </w:r>
    </w:p>
    <w:p>
      <w:pPr>
        <w:spacing w:after="0" w:line="127" w:lineRule="exact"/>
        <w:rPr>
          <w:sz w:val="20"/>
          <w:szCs w:val="20"/>
          <w:color w:val="auto"/>
        </w:rPr>
      </w:pPr>
    </w:p>
    <w:p>
      <w:pPr>
        <w:ind w:right="140" w:firstLine="510"/>
        <w:spacing w:after="0" w:line="271" w:lineRule="auto"/>
        <w:rPr>
          <w:sz w:val="20"/>
          <w:szCs w:val="20"/>
          <w:color w:val="auto"/>
        </w:rPr>
      </w:pPr>
      <w:r>
        <w:rPr>
          <w:rFonts w:ascii="Arial" w:cs="Arial" w:eastAsia="Arial" w:hAnsi="Arial"/>
          <w:sz w:val="16"/>
          <w:szCs w:val="16"/>
          <w:color w:val="auto"/>
        </w:rPr>
        <w:t>We calculate annual revenue run-rate (“ARR”) at the end of each month as the sum of: (1) the product of the current month’s monthly recurring revenue (“MRR”) multiplied by twelve (to prospectively annualize subscription revenue), and (2) the trailing twelve-month partner and services revenue, including non-recurring services revenue, such as one-time partner integration fees and store-launch services. MRR includes BigCommerce platform subscription fees and invoiced growth adjustments as customers’ businesses grow past contracted order thresholds after a threshold has been met. It also includes recurring professional services revenue, such as recurring technical account management services and product training services.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with greater than $2,000 ACV</w:t>
      </w:r>
    </w:p>
    <w:p>
      <w:pPr>
        <w:spacing w:after="0" w:line="12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We track the total number of accounts with annual contract value (“ACV”) greater than $2,000 (the “ACV threshold”) as of the end of a monthly billing period. To define this $2,000 ACV cohort, we include only subscription plan revenue and exclude partner and services revenue and recurring services revenue. We consider all stores added and subtracted as of the end of the monthly billing period. This metric includes accounts that may have either one single store above the ACV threshold or multiple stores that together exceed the ACV threshold. Accordingly, this cohort would include: (1) customers on Enterprise plans, (2) customers on Pro plans, and (3) customers with multiple plans that together exceed the ACV threshold.</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account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calculate average revenue per account (“ARPA”) at the end of a period by including customer-billed revenue and an allocation of partner and services revenue.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We bill customers for subscription solutions and professional services, and we include both in ARPA for the reported period.</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For example, ARPA as of March 31, 2019 includes all subscription solutions and professional services billed between January 1, 2019 and March 31, 2019. We allocate partner revenue primarily based on each customer’s share of GMV processed through that partner’s solution. For partner revenue that is not directly linked to customer usage of a partner’s solution, we allocate such revenue based on each customer’s share of total platform GMV. Each account’s partner revenue allocation is calculated by taking the account’s trailing twelve-month partner revenue, then dividing by twelve to create a monthly average to apply to the applicable period in order to normalize ARPA for seasonality.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Enterprise Account metrics</w:t>
      </w:r>
    </w:p>
    <w:p>
      <w:pPr>
        <w:spacing w:after="0" w:line="127"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color w:val="auto"/>
        </w:rPr>
        <w:t>To measure the effectiveness of our ability to execute against our growth strategy, particularly within the mid-market and enterprise business segments, we calculate ARR attributable to Enterprise Accounts. We define Enterprise Accounts as accounts with at least one unique Enterprise plan subscription (“Enterprise Accounts”). These accounts may have more than one Enterprise plan or a combination of Enterprise plans and Essentials plans.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chart below illustrates certain of our key business metrics as of the years ended December 31, 2020, 2019 and 2018.</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40" w:type="dxa"/>
            <w:vAlign w:val="bottom"/>
            <w:tcBorders>
              <w:bottom w:val="single" w:sz="8" w:color="CFF0FC"/>
            </w:tcBorders>
          </w:tcPr>
          <w:p>
            <w:pPr>
              <w:spacing w:after="0"/>
              <w:rPr>
                <w:sz w:val="18"/>
                <w:szCs w:val="18"/>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Total ARR (in thousands)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181,166</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128,522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102,162</w:t>
            </w:r>
          </w:p>
        </w:tc>
        <w:tc>
          <w:tcPr>
            <w:tcW w:w="140" w:type="dxa"/>
            <w:vAlign w:val="bottom"/>
            <w:shd w:val="clear" w:color="auto" w:fill="CFF0FC"/>
          </w:tcPr>
          <w:p>
            <w:pPr>
              <w:spacing w:after="0"/>
              <w:rPr>
                <w:sz w:val="18"/>
                <w:szCs w:val="18"/>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Accounts with ACV greater than $2,000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8,375</w:t>
            </w:r>
          </w:p>
        </w:tc>
        <w:tc>
          <w:tcPr>
            <w:tcW w:w="140" w:type="dxa"/>
            <w:vAlign w:val="bottom"/>
          </w:tcPr>
          <w:p>
            <w:pPr>
              <w:spacing w:after="0"/>
              <w:rPr>
                <w:sz w:val="18"/>
                <w:szCs w:val="18"/>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 of Total ARR attributable to accounts with ACV greater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than $2,000</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78%</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w:t>
            </w: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ARR attributable to accounts with ACV greater than $2,000 (in thousands)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148,556</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100,247</w:t>
            </w:r>
          </w:p>
        </w:tc>
        <w:tc>
          <w:tcPr>
            <w:tcW w:w="3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75,600</w:t>
            </w:r>
          </w:p>
        </w:tc>
        <w:tc>
          <w:tcPr>
            <w:tcW w:w="140" w:type="dxa"/>
            <w:vAlign w:val="bottom"/>
          </w:tcPr>
          <w:p>
            <w:pPr>
              <w:spacing w:after="0"/>
              <w:rPr>
                <w:sz w:val="18"/>
                <w:szCs w:val="18"/>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ARPA attributable to accounts with ACV greater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than $2,000</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14,615</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9,056</w:t>
            </w:r>
          </w:p>
        </w:tc>
        <w:tc>
          <w:tcPr>
            <w:tcW w:w="140" w:type="dxa"/>
            <w:vAlign w:val="bottom"/>
            <w:shd w:val="clear" w:color="auto" w:fill="CFF0FC"/>
          </w:tcPr>
          <w:p>
            <w:pPr>
              <w:spacing w:after="0"/>
              <w:rPr>
                <w:sz w:val="18"/>
                <w:szCs w:val="18"/>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ARR attributable to Enterprise Accounts (in thousands)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100,771</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66,734</w:t>
            </w:r>
          </w:p>
        </w:tc>
        <w:tc>
          <w:tcPr>
            <w:tcW w:w="3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46,481</w:t>
            </w:r>
          </w:p>
        </w:tc>
        <w:tc>
          <w:tcPr>
            <w:tcW w:w="140" w:type="dxa"/>
            <w:vAlign w:val="bottom"/>
          </w:tcPr>
          <w:p>
            <w:pPr>
              <w:spacing w:after="0"/>
              <w:rPr>
                <w:sz w:val="18"/>
                <w:szCs w:val="18"/>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 of Total ARR attributable to Enterprise Accounts</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52%</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 retention</w:t>
      </w:r>
    </w:p>
    <w:p>
      <w:pPr>
        <w:spacing w:after="0" w:line="12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5"/>
          <w:szCs w:val="15"/>
          <w:color w:val="auto"/>
        </w:rPr>
        <w:t>We use net revenue retention (“NRR”) to evaluate our ability to maintain and expand our revenue with our account base of customers exceeding the ACV threshold over time. The total billings and allocated partner revenue for the measured period are divided by the total billings and allocated partner revenue for such accounts, corresponding period one year prior. An NRR greater than 100% implies positive net revenue retention. This methodology includes stores added to or subtracted from an account’s subscription during the previous twelve months. It also includes changes to subscription and partner and services revenue billings, and revenue reductions from stores or accounts that leave the platform during the previous one-year period. Net new accounts added after the previous one-year period are excluded in our NRR calculations. NRR for accounts with ACV greater than $2,000 was 113%, 106% and 108% for the years ended December 31, 2020, 2019 and 2018, respectively. We update our reported NRR at the end of each fiscal year and do not report quarterly changes in NRR.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generate revenue from two sources: (1) subscription solutions revenue and (2) partner and services revenue.</w:t>
      </w:r>
    </w:p>
    <w:p>
      <w:pPr>
        <w:spacing w:after="0" w:line="235"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Subscription solutions revenue consists primarily of platform subscription fees from all plans. It also includes recurring professional services and sales of SSL certificates. Subscription solutions are charged monthly, quarterly, or annually for our customers to sell their products and process transactions on our platform. Subscription solutions are generally charged per online store and are based on the store’s subscription plan. Our Enterprise plan contracts are generally for a fixed term of one to three years and are non-cancelable. Our retail plans are generally month-to-month contracts. Monthly subscription fees for Pro and Enterprise plans are adjusted if a customer’s GMV or orders processed are outside of specified plan thresholds on a trailing twelve-month basis. Fixed monthly fees and any transaction charges related to subscription solutions are recognized as revenue in the month they are earned.</w:t>
      </w:r>
    </w:p>
    <w:p>
      <w:pPr>
        <w:spacing w:after="0" w:line="194"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We generate partner revenue from our technology application ecosystem. Customers tailor their stores to meet their feature needs by integrating applications developed by our strategic technology partners. We enter into contracts with our strategic technology partners that are generally for one year or longer. We generate revenue from these contracts in three ways: (1) revenue-sharing arrangements, (2) technology integrations, and (3) partner marketing and promotion. We recognize revenue on a net basis from revenue-sharing arrangements when the underlying transaction occurs.</w:t>
      </w:r>
    </w:p>
    <w:p>
      <w:pPr>
        <w:spacing w:after="0" w:line="189" w:lineRule="exact"/>
        <w:rPr>
          <w:sz w:val="20"/>
          <w:szCs w:val="20"/>
          <w:color w:val="auto"/>
        </w:rPr>
      </w:pPr>
    </w:p>
    <w:p>
      <w:pPr>
        <w:jc w:val="both"/>
        <w:ind w:right="180" w:firstLine="510"/>
        <w:spacing w:after="0" w:line="278" w:lineRule="auto"/>
        <w:rPr>
          <w:sz w:val="20"/>
          <w:szCs w:val="20"/>
          <w:color w:val="auto"/>
        </w:rPr>
      </w:pPr>
      <w:r>
        <w:rPr>
          <w:rFonts w:ascii="Arial" w:cs="Arial" w:eastAsia="Arial" w:hAnsi="Arial"/>
          <w:sz w:val="16"/>
          <w:szCs w:val="16"/>
          <w:color w:val="auto"/>
        </w:rPr>
        <w:t>We also generate revenue from non-recurring professional services that we provide to complement the capabilities of our customers and their agency partners. Our services help improve customers’ time-to-market and the success of their businesses using BigCommerce. Our non-recurring services include education packages, launch services, solutions architecting, implementation consulting, and catalog transfer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7" w:lineRule="exact"/>
        <w:rPr>
          <w:sz w:val="20"/>
          <w:szCs w:val="20"/>
          <w:color w:val="auto"/>
        </w:rPr>
      </w:pPr>
    </w:p>
    <w:p>
      <w:pPr>
        <w:ind w:right="100" w:firstLine="510"/>
        <w:spacing w:after="0" w:line="278" w:lineRule="auto"/>
        <w:rPr>
          <w:sz w:val="20"/>
          <w:szCs w:val="20"/>
          <w:color w:val="auto"/>
        </w:rPr>
      </w:pPr>
      <w:r>
        <w:rPr>
          <w:rFonts w:ascii="Arial" w:cs="Arial" w:eastAsia="Arial" w:hAnsi="Arial"/>
          <w:sz w:val="16"/>
          <w:szCs w:val="16"/>
          <w:color w:val="auto"/>
        </w:rPr>
        <w:t>Cost of revenue consists primarily of: (1) personnel-related costs (including stock-based compensation expense) for our customer success teams, (2) costs that are directly related to hosting and maintaining our platform, (3) fees for processing customer payments, and (4) the allocation of overhead costs. We expect that cost of revenue will increase in absolute dollars, but may fluctuate as a percentage of total revenue from period to period.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Sales and marketing expenses consist primarily of: (1) personnel-related expenses (including stock-based compensation expense), (2) sales commissions,</w:t>
      </w:r>
    </w:p>
    <w:p>
      <w:pPr>
        <w:spacing w:after="0" w:line="34" w:lineRule="exact"/>
        <w:rPr>
          <w:sz w:val="20"/>
          <w:szCs w:val="20"/>
          <w:color w:val="auto"/>
        </w:rPr>
      </w:pPr>
    </w:p>
    <w:p>
      <w:pPr>
        <w:ind w:right="140" w:firstLine="8"/>
        <w:spacing w:after="0" w:line="292" w:lineRule="auto"/>
        <w:tabs>
          <w:tab w:leader="none" w:pos="229"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marketing programs, (4) travel-related expenses, and (5) allocated overhead costs. We focus our sales and marketing efforts on creating sales leads and establishing and promoting our brand. We plan to increase our investment in sales and marketing by hiring additional sales and marketing personnel, executing our go-to-market strategy globally, and building our brand awareness. Incremental sales commissions for new customer contracts are deferred and amortized ratably over the estimated period of our relationship with such customers. No incremental sales commissions are incurred on renewals of customer contracts. We expect our sales and marketing expenses will increase in absolute dollars, but will decrease as a percentage of total revenue over time.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27" w:lineRule="exact"/>
        <w:rPr>
          <w:sz w:val="20"/>
          <w:szCs w:val="20"/>
          <w:color w:val="auto"/>
        </w:rPr>
      </w:pPr>
    </w:p>
    <w:p>
      <w:pPr>
        <w:ind w:right="40" w:firstLine="510"/>
        <w:spacing w:after="0" w:line="369" w:lineRule="auto"/>
        <w:rPr>
          <w:sz w:val="20"/>
          <w:szCs w:val="20"/>
          <w:color w:val="auto"/>
        </w:rPr>
      </w:pPr>
      <w:r>
        <w:rPr>
          <w:rFonts w:ascii="Arial" w:cs="Arial" w:eastAsia="Arial" w:hAnsi="Arial"/>
          <w:sz w:val="14"/>
          <w:szCs w:val="14"/>
          <w:color w:val="auto"/>
        </w:rPr>
        <w:t>Research and development expenses consist primarily of personnel-related expenses (including stock-based compensation expense) incurred in maintaining and developing enhancements to our ecommerce platform and allocated overhead costs. To date, software development costs eligible for capitalization have not been significant.</w:t>
      </w:r>
    </w:p>
    <w:p>
      <w:pPr>
        <w:spacing w:after="0" w:line="126" w:lineRule="exact"/>
        <w:rPr>
          <w:sz w:val="20"/>
          <w:szCs w:val="20"/>
          <w:color w:val="auto"/>
        </w:rPr>
      </w:pPr>
    </w:p>
    <w:p>
      <w:pPr>
        <w:ind w:right="80" w:firstLine="510"/>
        <w:spacing w:after="0" w:line="335" w:lineRule="auto"/>
        <w:rPr>
          <w:sz w:val="20"/>
          <w:szCs w:val="20"/>
          <w:color w:val="auto"/>
        </w:rPr>
      </w:pPr>
      <w:r>
        <w:rPr>
          <w:rFonts w:ascii="Arial" w:cs="Arial" w:eastAsia="Arial" w:hAnsi="Arial"/>
          <w:sz w:val="14"/>
          <w:szCs w:val="14"/>
          <w:color w:val="auto"/>
        </w:rPr>
        <w:t>We believe delivering new functionality is critical to attracting new customers and enhancing the success of existing customers. We expect to continue to make substantial investments in research and development. We expect our research and development expenses to increase in absolute dollars, but decrease as a percentage of total revenue over time, as we continue to leverage and expand our lower-cost engineering center in Kyiv, Ukraine. We expense research and development expenses as incurred.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27" w:lineRule="exact"/>
        <w:rPr>
          <w:sz w:val="20"/>
          <w:szCs w:val="20"/>
          <w:color w:val="auto"/>
        </w:rPr>
      </w:pPr>
    </w:p>
    <w:p>
      <w:pPr>
        <w:ind w:right="60" w:firstLine="510"/>
        <w:spacing w:after="0" w:line="324" w:lineRule="auto"/>
        <w:rPr>
          <w:sz w:val="20"/>
          <w:szCs w:val="20"/>
          <w:color w:val="auto"/>
        </w:rPr>
      </w:pPr>
      <w:r>
        <w:rPr>
          <w:rFonts w:ascii="Arial" w:cs="Arial" w:eastAsia="Arial" w:hAnsi="Arial"/>
          <w:sz w:val="14"/>
          <w:szCs w:val="14"/>
          <w:color w:val="auto"/>
        </w:rPr>
        <w:t>General and administrative expenses consist primarily of: (1) personnel-related expenses (including stock-based compensation expense) for finance, legal and compliance, human resources, and IT, (2) external professional services, and (3) allocated overhead costs. We expect to incur additional general and administrative expenses as a result of operating as a public company. We also expect to increase the size of our general and administrative functions to support the growth of our business. As a result, we expect that our general and administrative expenses will increase in absolute dollars but may fluctuate as a percentage of total revenue from period to period.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expenses, net</w:t>
      </w:r>
    </w:p>
    <w:p>
      <w:pPr>
        <w:spacing w:after="0" w:line="12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Other expenses, net consists primarily of interest expense on our bank borrowings partially offset by interest income on corporate funds invested in money market instruments and highly liquid short-term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27"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Provision for income taxes consists primarily of income taxes related to certain foreign and state jurisdictions in which we conduct business. For U.S. federal income tax purposes and in certain foreign and state jurisdictions, we have NOL carryforwards. The foreign jurisdictions in which we operate have different statutory tax rates than those of the United States. Additionally, certain of our foreign earnings may also be currently taxable in the United States. Accordingly, our effective tax rate will vary depending on the relative proportion of foreign to domestic income, use of foreign tax credits, changes in the valuation of our deferred tax assets and liabilities, applicability of any valuation allowances, and changes in tax laws in jurisdictions in which we operate.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1" w:lineRule="exact"/>
        <w:rPr>
          <w:sz w:val="20"/>
          <w:szCs w:val="20"/>
          <w:color w:val="auto"/>
        </w:rPr>
      </w:pPr>
    </w:p>
    <w:p>
      <w:pPr>
        <w:ind w:right="340" w:firstLine="510"/>
        <w:spacing w:after="0" w:line="293" w:lineRule="auto"/>
        <w:rPr>
          <w:sz w:val="20"/>
          <w:szCs w:val="20"/>
          <w:color w:val="auto"/>
        </w:rPr>
      </w:pPr>
      <w:r>
        <w:rPr>
          <w:rFonts w:ascii="Arial" w:cs="Arial" w:eastAsia="Arial" w:hAnsi="Arial"/>
          <w:sz w:val="16"/>
          <w:szCs w:val="16"/>
          <w:color w:val="auto"/>
        </w:rPr>
        <w:t>The following table summarizes our historical consolidated statement of operations data. The period-to-period comparison of operating results is not necessarily indicative of results for future periods.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0"/>
              </w:rPr>
              <w:t>Year ended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2019</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152,368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tcBorders>
              <w:bottom w:val="single" w:sz="8" w:color="CFF0FC"/>
            </w:tcBorders>
          </w:tcPr>
          <w:p>
            <w:pPr>
              <w:spacing w:after="0" w:line="216" w:lineRule="exact"/>
              <w:rPr>
                <w:sz w:val="20"/>
                <w:szCs w:val="20"/>
                <w:color w:val="auto"/>
              </w:rPr>
            </w:pPr>
            <w:r>
              <w:rPr>
                <w:rFonts w:ascii="Arial" w:cs="Arial" w:eastAsia="Arial" w:hAnsi="Arial"/>
                <w:sz w:val="15"/>
                <w:szCs w:val="15"/>
                <w:color w:val="auto"/>
              </w:rPr>
              <w:t>Cost of revenue</w:t>
            </w:r>
            <w:r>
              <w:rPr>
                <w:rFonts w:ascii="Arial" w:cs="Arial" w:eastAsia="Arial" w:hAnsi="Arial"/>
                <w:sz w:val="25"/>
                <w:szCs w:val="25"/>
                <w:color w:val="auto"/>
                <w:vertAlign w:val="superscript"/>
              </w:rPr>
              <w:t>(1)</w:t>
            </w:r>
          </w:p>
        </w:tc>
        <w:tc>
          <w:tcPr>
            <w:tcW w:w="17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27,023</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profit</w:t>
            </w:r>
          </w:p>
        </w:tc>
        <w:tc>
          <w:tcPr>
            <w:tcW w:w="17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85,080</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80" w:type="dxa"/>
            <w:vAlign w:val="bottom"/>
          </w:tcPr>
          <w:p>
            <w:pPr>
              <w:spacing w:after="0"/>
              <w:rPr>
                <w:sz w:val="20"/>
                <w:szCs w:val="20"/>
                <w:color w:val="auto"/>
              </w:rPr>
            </w:pPr>
            <w:r>
              <w:rPr>
                <w:rFonts w:ascii="Arial" w:cs="Arial" w:eastAsia="Arial" w:hAnsi="Arial"/>
                <w:sz w:val="16"/>
                <w:szCs w:val="16"/>
                <w:color w:val="auto"/>
              </w:rPr>
              <w:t>Operating expenses:</w:t>
            </w: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Sales and marketing</w:t>
            </w:r>
            <w:r>
              <w:rPr>
                <w:rFonts w:ascii="Arial" w:cs="Arial" w:eastAsia="Arial" w:hAnsi="Arial"/>
                <w:sz w:val="25"/>
                <w:szCs w:val="25"/>
                <w:color w:val="auto"/>
                <w:vertAlign w:val="superscript"/>
              </w:rPr>
              <w:t>(1)</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60"/>
              <w:spacing w:after="0" w:line="216" w:lineRule="exact"/>
              <w:rPr>
                <w:sz w:val="20"/>
                <w:szCs w:val="20"/>
                <w:color w:val="auto"/>
              </w:rPr>
            </w:pPr>
            <w:r>
              <w:rPr>
                <w:rFonts w:ascii="Arial" w:cs="Arial" w:eastAsia="Arial" w:hAnsi="Arial"/>
                <w:sz w:val="15"/>
                <w:szCs w:val="15"/>
                <w:color w:val="auto"/>
              </w:rPr>
              <w:t>Research and development</w:t>
            </w:r>
            <w:r>
              <w:rPr>
                <w:rFonts w:ascii="Arial" w:cs="Arial" w:eastAsia="Arial" w:hAnsi="Arial"/>
                <w:sz w:val="25"/>
                <w:szCs w:val="25"/>
                <w:color w:val="auto"/>
                <w:vertAlign w:val="superscript"/>
              </w:rPr>
              <w:t>(1)</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43,123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25"/>
                <w:szCs w:val="25"/>
                <w:color w:val="auto"/>
                <w:vertAlign w:val="superscript"/>
              </w:rPr>
              <w:t>(1)</w:t>
            </w:r>
          </w:p>
        </w:tc>
        <w:tc>
          <w:tcPr>
            <w:tcW w:w="17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36,137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22,204</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8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7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156,939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126,067</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107,910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(38,697)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(40,987)</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(37,980)</w:t>
            </w:r>
          </w:p>
        </w:tc>
        <w:tc>
          <w:tcPr>
            <w:tcW w:w="0" w:type="dxa"/>
            <w:vAlign w:val="bottom"/>
          </w:tcPr>
          <w:p>
            <w:pPr>
              <w:spacing w:after="0"/>
              <w:rPr>
                <w:sz w:val="1"/>
                <w:szCs w:val="1"/>
                <w:color w:val="auto"/>
              </w:rPr>
            </w:pP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(3,103)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(1,612)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3"/>
        </w:trPr>
        <w:tc>
          <w:tcPr>
            <w:tcW w:w="4880" w:type="dxa"/>
            <w:vAlign w:val="bottom"/>
          </w:tcPr>
          <w:p>
            <w:pPr>
              <w:ind w:left="260"/>
              <w:spacing w:after="0"/>
              <w:rPr>
                <w:sz w:val="20"/>
                <w:szCs w:val="20"/>
                <w:color w:val="auto"/>
              </w:rPr>
            </w:pPr>
            <w:r>
              <w:rPr>
                <w:rFonts w:ascii="Arial" w:cs="Arial" w:eastAsia="Arial" w:hAnsi="Arial"/>
                <w:sz w:val="16"/>
                <w:szCs w:val="16"/>
                <w:color w:val="auto"/>
              </w:rPr>
              <w:t>Change in fair value of financial instrument</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w:t>
            </w:r>
          </w:p>
        </w:tc>
        <w:tc>
          <w:tcPr>
            <w:tcW w:w="1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500"/>
              <w:spacing w:after="0"/>
              <w:rPr>
                <w:sz w:val="20"/>
                <w:szCs w:val="20"/>
                <w:color w:val="auto"/>
              </w:rPr>
            </w:pPr>
            <w:r>
              <w:rPr>
                <w:rFonts w:ascii="Arial" w:cs="Arial" w:eastAsia="Arial" w:hAnsi="Arial"/>
                <w:sz w:val="16"/>
                <w:szCs w:val="16"/>
                <w:color w:val="auto"/>
              </w:rPr>
              <w:t>Loss before provision for income taxes</w:t>
            </w:r>
          </w:p>
        </w:tc>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88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(37,535)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(42,562)</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(38,868)</w:t>
            </w:r>
          </w:p>
        </w:tc>
        <w:tc>
          <w:tcPr>
            <w:tcW w:w="0" w:type="dxa"/>
            <w:vAlign w:val="bottom"/>
          </w:tcPr>
          <w:p>
            <w:pPr>
              <w:spacing w:after="0"/>
              <w:rPr>
                <w:sz w:val="1"/>
                <w:szCs w:val="1"/>
                <w:color w:val="auto"/>
              </w:rPr>
            </w:pPr>
          </w:p>
        </w:tc>
      </w:tr>
      <w:tr>
        <w:trPr>
          <w:trHeight w:val="219"/>
        </w:trPr>
        <w:tc>
          <w:tcPr>
            <w:tcW w:w="4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income taxes</w:t>
            </w:r>
          </w:p>
        </w:tc>
        <w:tc>
          <w:tcPr>
            <w:tcW w:w="17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80" w:type="dxa"/>
            <w:vAlign w:val="bottom"/>
          </w:tcPr>
          <w:p>
            <w:pPr>
              <w:spacing w:after="0"/>
              <w:rPr>
                <w:sz w:val="20"/>
                <w:szCs w:val="20"/>
                <w:color w:val="auto"/>
              </w:rPr>
            </w:pPr>
            <w:r>
              <w:rPr>
                <w:rFonts w:ascii="Arial" w:cs="Arial" w:eastAsia="Arial" w:hAnsi="Arial"/>
                <w:sz w:val="16"/>
                <w:szCs w:val="16"/>
                <w:color w:val="auto"/>
              </w:rPr>
              <w:t>Net loss</w:t>
            </w:r>
          </w:p>
        </w:tc>
        <w:tc>
          <w:tcPr>
            <w:tcW w:w="2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9"/>
              <w:spacing w:after="0"/>
              <w:rPr>
                <w:sz w:val="20"/>
                <w:szCs w:val="20"/>
                <w:color w:val="auto"/>
              </w:rPr>
            </w:pPr>
            <w:r>
              <w:rPr>
                <w:rFonts w:ascii="Arial" w:cs="Arial" w:eastAsia="Arial" w:hAnsi="Arial"/>
                <w:sz w:val="16"/>
                <w:szCs w:val="16"/>
                <w:color w:val="auto"/>
              </w:rPr>
              <w:t>(37,560)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(42,590)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(38,878)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4540" w:type="dxa"/>
            <w:vAlign w:val="bottom"/>
            <w:gridSpan w:val="2"/>
          </w:tcPr>
          <w:p>
            <w:pPr>
              <w:ind w:left="780"/>
              <w:spacing w:after="0"/>
              <w:rPr>
                <w:sz w:val="20"/>
                <w:szCs w:val="20"/>
                <w:color w:val="auto"/>
              </w:rPr>
            </w:pPr>
            <w:r>
              <w:rPr>
                <w:rFonts w:ascii="Arial" w:cs="Arial" w:eastAsia="Arial" w:hAnsi="Arial"/>
                <w:sz w:val="16"/>
                <w:szCs w:val="16"/>
                <w:color w:val="auto"/>
              </w:rPr>
              <w:t>Sales and marketing</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4540" w:type="dxa"/>
            <w:vAlign w:val="bottom"/>
            <w:gridSpan w:val="2"/>
          </w:tcPr>
          <w:p>
            <w:pPr>
              <w:ind w:left="780"/>
              <w:spacing w:after="0"/>
              <w:rPr>
                <w:sz w:val="20"/>
                <w:szCs w:val="20"/>
                <w:color w:val="auto"/>
              </w:rPr>
            </w:pPr>
            <w:r>
              <w:rPr>
                <w:rFonts w:ascii="Arial" w:cs="Arial" w:eastAsia="Arial" w:hAnsi="Arial"/>
                <w:sz w:val="16"/>
                <w:szCs w:val="16"/>
                <w:color w:val="auto"/>
              </w:rPr>
              <w:t>General and administrative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4,479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 stock-based compensation expense</w:t>
            </w:r>
          </w:p>
        </w:tc>
        <w:tc>
          <w:tcPr>
            <w:tcW w:w="1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vMerge w:val="continue"/>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w w:val="91"/>
              </w:rPr>
              <w:t>(1)</w:t>
            </w:r>
          </w:p>
        </w:tc>
        <w:tc>
          <w:tcPr>
            <w:tcW w:w="4540" w:type="dxa"/>
            <w:vAlign w:val="bottom"/>
            <w:gridSpan w:val="2"/>
            <w:vMerge w:val="restart"/>
          </w:tcPr>
          <w:p>
            <w:pPr>
              <w:ind w:left="140"/>
              <w:spacing w:after="0"/>
              <w:rPr>
                <w:sz w:val="20"/>
                <w:szCs w:val="20"/>
                <w:color w:val="auto"/>
              </w:rPr>
            </w:pPr>
            <w:r>
              <w:rPr>
                <w:rFonts w:ascii="Arial" w:cs="Arial" w:eastAsia="Arial" w:hAnsi="Arial"/>
                <w:sz w:val="16"/>
                <w:szCs w:val="16"/>
                <w:color w:val="auto"/>
              </w:rPr>
              <w:t>Includes depreciation and amortization as follows:</w:t>
            </w: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60" w:type="dxa"/>
            <w:vAlign w:val="bottom"/>
            <w:vMerge w:val="continue"/>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6"/>
                <w:szCs w:val="16"/>
                <w:b w:val="1"/>
                <w:bCs w:val="1"/>
                <w:color w:val="auto"/>
                <w:w w:val="90"/>
              </w:rPr>
              <w:t>Year ended December 31,</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5"/>
              </w:rPr>
              <w:t>2019</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4540" w:type="dxa"/>
            <w:vAlign w:val="bottom"/>
            <w:gridSpan w:val="2"/>
          </w:tcPr>
          <w:p>
            <w:pPr>
              <w:ind w:left="780"/>
              <w:spacing w:after="0"/>
              <w:rPr>
                <w:sz w:val="20"/>
                <w:szCs w:val="20"/>
                <w:color w:val="auto"/>
              </w:rPr>
            </w:pPr>
            <w:r>
              <w:rPr>
                <w:rFonts w:ascii="Arial" w:cs="Arial" w:eastAsia="Arial" w:hAnsi="Arial"/>
                <w:sz w:val="16"/>
                <w:szCs w:val="16"/>
                <w:color w:val="auto"/>
              </w:rPr>
              <w:t>Sales and marketing</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4540" w:type="dxa"/>
            <w:vAlign w:val="bottom"/>
            <w:gridSpan w:val="2"/>
          </w:tcPr>
          <w:p>
            <w:pPr>
              <w:ind w:left="780"/>
              <w:spacing w:after="0"/>
              <w:rPr>
                <w:sz w:val="20"/>
                <w:szCs w:val="20"/>
                <w:color w:val="auto"/>
              </w:rPr>
            </w:pPr>
            <w:r>
              <w:rPr>
                <w:rFonts w:ascii="Arial" w:cs="Arial" w:eastAsia="Arial" w:hAnsi="Arial"/>
                <w:sz w:val="16"/>
                <w:szCs w:val="16"/>
                <w:color w:val="auto"/>
              </w:rPr>
              <w:t>General and administrative</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 depreciation and amortization expense</w:t>
            </w:r>
          </w:p>
        </w:tc>
        <w:tc>
          <w:tcPr>
            <w:tcW w:w="1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760" w:type="dxa"/>
            <w:vAlign w:val="bottom"/>
            <w:vMerge w:val="continue"/>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4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CFF0FC"/>
            </w:tcBorders>
            <w:vMerge w:val="restart"/>
          </w:tcPr>
          <w:p>
            <w:pPr>
              <w:jc w:val="right"/>
              <w:ind w:right="679"/>
              <w:spacing w:after="0"/>
              <w:rPr>
                <w:sz w:val="20"/>
                <w:szCs w:val="20"/>
                <w:color w:val="auto"/>
              </w:rPr>
            </w:pPr>
            <w:r>
              <w:rPr>
                <w:rFonts w:ascii="Arial" w:cs="Arial" w:eastAsia="Arial" w:hAnsi="Arial"/>
                <w:sz w:val="16"/>
                <w:szCs w:val="16"/>
                <w:color w:val="auto"/>
              </w:rPr>
              <w:t>38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by geographic region</w:t>
      </w:r>
    </w:p>
    <w:p>
      <w:pPr>
        <w:spacing w:after="0" w:line="12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 composition of our revenue by geographic region during the years ended December 31, 2020 and 2019, and years ended December 31, 2019 and 2018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2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2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3"/>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3"/>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r>
      <w:tr>
        <w:trPr>
          <w:trHeight w:val="142"/>
        </w:trPr>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6"/>
          </w:tcPr>
          <w:p>
            <w:pPr>
              <w:ind w:left="14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6"/>
          </w:tcPr>
          <w:p>
            <w:pPr>
              <w:ind w:left="10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Americas—U.S.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120,934</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91,057</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29,877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91,057</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75,025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16,032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w:t>
            </w:r>
          </w:p>
        </w:tc>
        <w:tc>
          <w:tcPr>
            <w:tcW w:w="60" w:type="dxa"/>
            <w:vAlign w:val="bottom"/>
          </w:tcPr>
          <w:p>
            <w:pPr>
              <w:spacing w:after="0"/>
              <w:rPr>
                <w:sz w:val="18"/>
                <w:szCs w:val="18"/>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Americas—other</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60" w:type="dxa"/>
            <w:vAlign w:val="bottom"/>
            <w:shd w:val="clear" w:color="auto" w:fill="CFF0FC"/>
          </w:tcPr>
          <w:p>
            <w:pPr>
              <w:spacing w:after="0"/>
              <w:rPr>
                <w:sz w:val="19"/>
                <w:szCs w:val="19"/>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EMEA</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20.4</w:t>
            </w:r>
          </w:p>
        </w:tc>
        <w:tc>
          <w:tcPr>
            <w:tcW w:w="60" w:type="dxa"/>
            <w:vAlign w:val="bottom"/>
          </w:tcPr>
          <w:p>
            <w:pPr>
              <w:spacing w:after="0"/>
              <w:rPr>
                <w:sz w:val="18"/>
                <w:szCs w:val="18"/>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APAC</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9,915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3,752</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9,915</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7,719</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60" w:type="dxa"/>
            <w:vAlign w:val="bottom"/>
            <w:shd w:val="clear" w:color="auto" w:fill="CFF0FC"/>
          </w:tcPr>
          <w:p>
            <w:pPr>
              <w:spacing w:after="0"/>
              <w:rPr>
                <w:sz w:val="19"/>
                <w:szCs w:val="19"/>
                <w:color w:val="auto"/>
              </w:rPr>
            </w:pPr>
          </w:p>
        </w:tc>
      </w:tr>
      <w:tr>
        <w:trPr>
          <w:trHeight w:val="207"/>
        </w:trPr>
        <w:tc>
          <w:tcPr>
            <w:tcW w:w="2680" w:type="dxa"/>
            <w:vAlign w:val="bottom"/>
          </w:tcPr>
          <w:p>
            <w:pPr>
              <w:ind w:left="50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152,368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112,103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40,265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35.9</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112,103</w:t>
            </w:r>
          </w:p>
        </w:tc>
        <w:tc>
          <w:tcPr>
            <w:tcW w:w="2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91,867</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20,236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w:t>
            </w:r>
          </w:p>
        </w:tc>
        <w:tc>
          <w:tcPr>
            <w:tcW w:w="60" w:type="dxa"/>
            <w:vAlign w:val="bottom"/>
          </w:tcPr>
          <w:p>
            <w:pPr>
              <w:spacing w:after="0"/>
              <w:rPr>
                <w:sz w:val="17"/>
                <w:szCs w:val="17"/>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years ended December 31, 2020 and 2019, and the years ended December 31, 2019 and 2018</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components of our revenue for each of the periods indicated: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right"/>
              <w:ind w:right="584"/>
              <w:spacing w:after="0"/>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2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26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r>
      <w:tr>
        <w:trPr>
          <w:trHeight w:val="142"/>
        </w:trPr>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6"/>
          </w:tcPr>
          <w:p>
            <w:pPr>
              <w:ind w:left="14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tcPr>
          <w:p>
            <w:pPr>
              <w:ind w:left="28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3"/>
        </w:trPr>
        <w:tc>
          <w:tcPr>
            <w:tcW w:w="2680" w:type="dxa"/>
            <w:vAlign w:val="bottom"/>
          </w:tcPr>
          <w:p>
            <w:pPr>
              <w:ind w:left="260"/>
              <w:spacing w:after="0"/>
              <w:rPr>
                <w:sz w:val="20"/>
                <w:szCs w:val="20"/>
                <w:color w:val="auto"/>
              </w:rPr>
            </w:pPr>
            <w:r>
              <w:rPr>
                <w:rFonts w:ascii="Arial" w:cs="Arial" w:eastAsia="Arial" w:hAnsi="Arial"/>
                <w:sz w:val="16"/>
                <w:szCs w:val="16"/>
                <w:color w:val="auto"/>
              </w:rPr>
              <w:t>Subscription solutions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103,706</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82,689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21,017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82,689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24"/>
              <w:spacing w:after="0"/>
              <w:rPr>
                <w:sz w:val="20"/>
                <w:szCs w:val="20"/>
                <w:color w:val="auto"/>
              </w:rPr>
            </w:pPr>
            <w:r>
              <w:rPr>
                <w:rFonts w:ascii="Arial" w:cs="Arial" w:eastAsia="Arial" w:hAnsi="Arial"/>
                <w:sz w:val="16"/>
                <w:szCs w:val="16"/>
                <w:color w:val="auto"/>
                <w:w w:val="89"/>
              </w:rPr>
              <w:t>70,484</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12,205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17.3</w:t>
            </w:r>
          </w:p>
        </w:tc>
        <w:tc>
          <w:tcPr>
            <w:tcW w:w="60" w:type="dxa"/>
            <w:vAlign w:val="bottom"/>
          </w:tcPr>
          <w:p>
            <w:pPr>
              <w:spacing w:after="0"/>
              <w:rPr>
                <w:sz w:val="18"/>
                <w:szCs w:val="18"/>
                <w:color w:val="auto"/>
              </w:rPr>
            </w:pPr>
          </w:p>
        </w:tc>
      </w:tr>
      <w:tr>
        <w:trPr>
          <w:trHeight w:val="219"/>
        </w:trPr>
        <w:tc>
          <w:tcPr>
            <w:tcW w:w="2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Partner and services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48,662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29,414</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19,248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29,414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224"/>
              <w:spacing w:after="0"/>
              <w:rPr>
                <w:sz w:val="20"/>
                <w:szCs w:val="20"/>
                <w:color w:val="auto"/>
              </w:rPr>
            </w:pPr>
            <w:r>
              <w:rPr>
                <w:rFonts w:ascii="Arial" w:cs="Arial" w:eastAsia="Arial" w:hAnsi="Arial"/>
                <w:sz w:val="16"/>
                <w:szCs w:val="16"/>
                <w:color w:val="auto"/>
                <w:w w:val="89"/>
              </w:rPr>
              <w:t>21,383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w:t>
            </w:r>
          </w:p>
        </w:tc>
        <w:tc>
          <w:tcPr>
            <w:tcW w:w="60" w:type="dxa"/>
            <w:vAlign w:val="bottom"/>
            <w:shd w:val="clear" w:color="auto" w:fill="CFF0FC"/>
          </w:tcPr>
          <w:p>
            <w:pPr>
              <w:spacing w:after="0"/>
              <w:rPr>
                <w:sz w:val="19"/>
                <w:szCs w:val="19"/>
                <w:color w:val="auto"/>
              </w:rPr>
            </w:pPr>
          </w:p>
        </w:tc>
      </w:tr>
      <w:tr>
        <w:trPr>
          <w:trHeight w:val="207"/>
        </w:trPr>
        <w:tc>
          <w:tcPr>
            <w:tcW w:w="2680" w:type="dxa"/>
            <w:vAlign w:val="bottom"/>
          </w:tcPr>
          <w:p>
            <w:pPr>
              <w:ind w:left="50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152,368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112,103</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40,265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35.9</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112,103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91,867</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20,236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22.0</w:t>
            </w:r>
          </w:p>
        </w:tc>
        <w:tc>
          <w:tcPr>
            <w:tcW w:w="60" w:type="dxa"/>
            <w:vAlign w:val="bottom"/>
          </w:tcPr>
          <w:p>
            <w:pPr>
              <w:spacing w:after="0"/>
              <w:rPr>
                <w:sz w:val="17"/>
                <w:szCs w:val="17"/>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Revenue increased $40.3 million, or 35.9%, to $152.4 million for the year ended December 31, 2020 from $112.1 million for the year ended December 31, 2019, as a result of increases in both subscription solutions and partner and services revenue. Subscription solutions revenue increased $21.0 million, or 25.4%, to $103.7 million for the year ended December 31, 2020 from $82.7 million for the year ended December 31, 2019, primarily due to combined growth in domestic and international retail, mid-market and enterprise subscription sales as well as improved retention of our underlying customer base. Partner and services revenue increased $19.2 million, or 65.4%, to $48.7 million for the year ended December 31, 2020 from $29.4 million for the year ended December 31, 2019, primarily as a result of increases in revenue-sharing activity with our technology partners and improved monetization of partner revenue share.</w:t>
      </w:r>
    </w:p>
    <w:p>
      <w:pPr>
        <w:spacing w:after="0" w:line="194" w:lineRule="exact"/>
        <w:rPr>
          <w:sz w:val="20"/>
          <w:szCs w:val="20"/>
          <w:color w:val="auto"/>
        </w:rPr>
      </w:pPr>
    </w:p>
    <w:p>
      <w:pPr>
        <w:ind w:firstLine="510"/>
        <w:spacing w:after="0" w:line="297" w:lineRule="auto"/>
        <w:rPr>
          <w:sz w:val="20"/>
          <w:szCs w:val="20"/>
          <w:color w:val="auto"/>
        </w:rPr>
      </w:pPr>
      <w:r>
        <w:rPr>
          <w:rFonts w:ascii="Arial" w:cs="Arial" w:eastAsia="Arial" w:hAnsi="Arial"/>
          <w:sz w:val="15"/>
          <w:szCs w:val="15"/>
          <w:color w:val="auto"/>
        </w:rPr>
        <w:t>Revenue increased $20.2 million, or 22%, to $112.1 million in 2019 from $91.9 million in 2018, as a result of increases in both subscription solutions and partner and services revenue. Subscription solutions revenue increased $12.2 million, or 17.3%, to $82.7 million in 2019 from $70.5 million in 2018, primarily due to the increase in mid-market and large enterprise customers and our international expansion efforts. Partner and services revenue increased $8.0 million, or 37.6%, to $29.4 million in 2019 from $21.4 million in 2018, primarily as a result of increases in revenue-sharing activity with our technology partners.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gross profit, and gross margin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our cost of revenue, gross profit, and gross margin for each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8"/>
              </w:rPr>
              <w:t>Year ended</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53"/>
        </w:trPr>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Change</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7"/>
              </w:rPr>
              <w:t>December 31,</w:t>
            </w:r>
          </w:p>
        </w:tc>
        <w:tc>
          <w:tcPr>
            <w:tcW w:w="680" w:type="dxa"/>
            <w:vAlign w:val="bottom"/>
          </w:tcPr>
          <w:p>
            <w:pPr>
              <w:spacing w:after="0"/>
              <w:rPr>
                <w:sz w:val="13"/>
                <w:szCs w:val="13"/>
                <w:color w:val="auto"/>
              </w:rPr>
            </w:pPr>
          </w:p>
        </w:tc>
        <w:tc>
          <w:tcPr>
            <w:tcW w:w="1420" w:type="dxa"/>
            <w:vAlign w:val="bottom"/>
            <w:gridSpan w:val="2"/>
          </w:tcPr>
          <w:p>
            <w:pPr>
              <w:jc w:val="right"/>
              <w:ind w:right="960"/>
              <w:spacing w:after="0"/>
              <w:rPr>
                <w:sz w:val="20"/>
                <w:szCs w:val="20"/>
                <w:color w:val="auto"/>
              </w:rPr>
            </w:pPr>
            <w:r>
              <w:rPr>
                <w:rFonts w:ascii="Arial" w:cs="Arial" w:eastAsia="Arial" w:hAnsi="Arial"/>
                <w:sz w:val="13"/>
                <w:szCs w:val="13"/>
                <w:b w:val="1"/>
                <w:bCs w:val="1"/>
                <w:color w:val="auto"/>
                <w:w w:val="92"/>
              </w:rPr>
              <w:t>Change</w:t>
            </w:r>
          </w:p>
        </w:tc>
      </w:tr>
      <w:tr>
        <w:trPr>
          <w:trHeight w:val="155"/>
        </w:trPr>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0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07"/>
              <w:spacing w:after="0" w:line="155"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w w:val="93"/>
              </w:rPr>
              <w:t>Amount</w:t>
            </w:r>
          </w:p>
        </w:tc>
        <w:tc>
          <w:tcPr>
            <w:tcW w:w="122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r>
      <w:tr>
        <w:trPr>
          <w:trHeight w:val="142"/>
        </w:trPr>
        <w:tc>
          <w:tcPr>
            <w:tcW w:w="1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5"/>
          </w:tcPr>
          <w:p>
            <w:pPr>
              <w:jc w:val="right"/>
              <w:ind w:right="768"/>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gridSpan w:val="3"/>
          </w:tcPr>
          <w:p>
            <w:pPr>
              <w:ind w:left="420"/>
              <w:spacing w:after="0" w:line="142" w:lineRule="exact"/>
              <w:rPr>
                <w:sz w:val="20"/>
                <w:szCs w:val="20"/>
                <w:color w:val="auto"/>
              </w:rPr>
            </w:pPr>
            <w:r>
              <w:rPr>
                <w:rFonts w:ascii="Arial" w:cs="Arial" w:eastAsia="Arial" w:hAnsi="Arial"/>
                <w:sz w:val="13"/>
                <w:szCs w:val="13"/>
                <w:b w:val="1"/>
                <w:bCs w:val="1"/>
                <w:color w:val="auto"/>
              </w:rPr>
              <w:t>(dollars in thousands)</w:t>
            </w: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2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27"/>
              <w:spacing w:after="0"/>
              <w:rPr>
                <w:sz w:val="20"/>
                <w:szCs w:val="20"/>
                <w:color w:val="auto"/>
              </w:rPr>
            </w:pPr>
            <w:r>
              <w:rPr>
                <w:rFonts w:ascii="Arial" w:cs="Arial" w:eastAsia="Arial" w:hAnsi="Arial"/>
                <w:sz w:val="16"/>
                <w:szCs w:val="16"/>
                <w:color w:val="auto"/>
              </w:rPr>
              <w:t>34,126</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27,023</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68"/>
              <w:spacing w:after="0"/>
              <w:rPr>
                <w:sz w:val="20"/>
                <w:szCs w:val="20"/>
                <w:color w:val="auto"/>
              </w:rPr>
            </w:pPr>
            <w:r>
              <w:rPr>
                <w:rFonts w:ascii="Arial" w:cs="Arial" w:eastAsia="Arial" w:hAnsi="Arial"/>
                <w:sz w:val="16"/>
                <w:szCs w:val="16"/>
                <w:color w:val="auto"/>
              </w:rPr>
              <w:t>7,103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26.3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27"/>
              <w:spacing w:after="0"/>
              <w:rPr>
                <w:sz w:val="20"/>
                <w:szCs w:val="20"/>
                <w:color w:val="auto"/>
              </w:rPr>
            </w:pPr>
            <w:r>
              <w:rPr>
                <w:rFonts w:ascii="Arial" w:cs="Arial" w:eastAsia="Arial" w:hAnsi="Arial"/>
                <w:sz w:val="16"/>
                <w:szCs w:val="16"/>
                <w:color w:val="auto"/>
              </w:rPr>
              <w:t>27,023</w:t>
            </w:r>
          </w:p>
        </w:tc>
        <w:tc>
          <w:tcPr>
            <w:tcW w:w="920" w:type="dxa"/>
            <w:vAlign w:val="bottom"/>
            <w:shd w:val="clear" w:color="auto" w:fill="CFF0FC"/>
          </w:tcPr>
          <w:p>
            <w:pPr>
              <w:jc w:val="right"/>
              <w:ind w:right="224"/>
              <w:spacing w:after="0"/>
              <w:rPr>
                <w:sz w:val="20"/>
                <w:szCs w:val="20"/>
                <w:color w:val="auto"/>
              </w:rPr>
            </w:pPr>
            <w:r>
              <w:rPr>
                <w:rFonts w:ascii="Arial" w:cs="Arial" w:eastAsia="Arial" w:hAnsi="Arial"/>
                <w:sz w:val="16"/>
                <w:szCs w:val="16"/>
                <w:color w:val="auto"/>
                <w:w w:val="96"/>
              </w:rPr>
              <w:t>$ 21,937</w:t>
            </w: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20"/>
                <w:szCs w:val="20"/>
                <w:color w:val="auto"/>
              </w:rPr>
            </w:pPr>
            <w:r>
              <w:rPr>
                <w:rFonts w:ascii="Arial" w:cs="Arial" w:eastAsia="Arial" w:hAnsi="Arial"/>
                <w:sz w:val="16"/>
                <w:szCs w:val="16"/>
                <w:color w:val="auto"/>
              </w:rPr>
              <w:t>$ 5,086</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00" w:type="dxa"/>
            <w:vAlign w:val="bottom"/>
            <w:shd w:val="clear" w:color="auto" w:fill="CFF0FC"/>
          </w:tcPr>
          <w:p>
            <w:pPr>
              <w:spacing w:after="0"/>
              <w:rPr>
                <w:sz w:val="18"/>
                <w:szCs w:val="18"/>
                <w:color w:val="auto"/>
              </w:rPr>
            </w:pPr>
          </w:p>
        </w:tc>
      </w:tr>
      <w:tr>
        <w:trPr>
          <w:trHeight w:val="213"/>
        </w:trPr>
        <w:tc>
          <w:tcPr>
            <w:tcW w:w="1820" w:type="dxa"/>
            <w:vAlign w:val="bottom"/>
          </w:tcPr>
          <w:p>
            <w:pPr>
              <w:spacing w:after="0"/>
              <w:rPr>
                <w:sz w:val="20"/>
                <w:szCs w:val="20"/>
                <w:color w:val="auto"/>
              </w:rPr>
            </w:pPr>
            <w:r>
              <w:rPr>
                <w:rFonts w:ascii="Arial" w:cs="Arial" w:eastAsia="Arial" w:hAnsi="Arial"/>
                <w:sz w:val="16"/>
                <w:szCs w:val="16"/>
                <w:color w:val="auto"/>
              </w:rPr>
              <w:t>Gross profit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7"/>
              <w:spacing w:after="0"/>
              <w:rPr>
                <w:sz w:val="20"/>
                <w:szCs w:val="20"/>
                <w:color w:val="auto"/>
              </w:rPr>
            </w:pPr>
            <w:r>
              <w:rPr>
                <w:rFonts w:ascii="Arial" w:cs="Arial" w:eastAsia="Arial" w:hAnsi="Arial"/>
                <w:sz w:val="16"/>
                <w:szCs w:val="16"/>
                <w:color w:val="auto"/>
              </w:rPr>
              <w:t>118,242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85,080</w:t>
            </w:r>
          </w:p>
        </w:tc>
        <w:tc>
          <w:tcPr>
            <w:tcW w:w="18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68"/>
              <w:spacing w:after="0"/>
              <w:rPr>
                <w:sz w:val="20"/>
                <w:szCs w:val="20"/>
                <w:color w:val="auto"/>
              </w:rPr>
            </w:pPr>
            <w:r>
              <w:rPr>
                <w:rFonts w:ascii="Arial" w:cs="Arial" w:eastAsia="Arial" w:hAnsi="Arial"/>
                <w:sz w:val="16"/>
                <w:szCs w:val="16"/>
                <w:color w:val="auto"/>
              </w:rPr>
              <w:t>33,162</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39.0</w:t>
            </w:r>
          </w:p>
        </w:tc>
        <w:tc>
          <w:tcPr>
            <w:tcW w:w="2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7"/>
              <w:spacing w:after="0"/>
              <w:rPr>
                <w:sz w:val="20"/>
                <w:szCs w:val="20"/>
                <w:color w:val="auto"/>
              </w:rPr>
            </w:pPr>
            <w:r>
              <w:rPr>
                <w:rFonts w:ascii="Arial" w:cs="Arial" w:eastAsia="Arial" w:hAnsi="Arial"/>
                <w:sz w:val="16"/>
                <w:szCs w:val="16"/>
                <w:color w:val="auto"/>
              </w:rPr>
              <w:t>85,080</w:t>
            </w:r>
          </w:p>
        </w:tc>
        <w:tc>
          <w:tcPr>
            <w:tcW w:w="920" w:type="dxa"/>
            <w:vAlign w:val="bottom"/>
          </w:tcPr>
          <w:p>
            <w:pPr>
              <w:jc w:val="right"/>
              <w:ind w:right="224"/>
              <w:spacing w:after="0"/>
              <w:rPr>
                <w:sz w:val="20"/>
                <w:szCs w:val="20"/>
                <w:color w:val="auto"/>
              </w:rPr>
            </w:pPr>
            <w:r>
              <w:rPr>
                <w:rFonts w:ascii="Arial" w:cs="Arial" w:eastAsia="Arial" w:hAnsi="Arial"/>
                <w:sz w:val="16"/>
                <w:szCs w:val="16"/>
                <w:color w:val="auto"/>
                <w:w w:val="96"/>
              </w:rPr>
              <w:t>$ 69,930</w:t>
            </w:r>
          </w:p>
        </w:tc>
        <w:tc>
          <w:tcPr>
            <w:tcW w:w="2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$ 15,150</w:t>
            </w:r>
          </w:p>
        </w:tc>
        <w:tc>
          <w:tcPr>
            <w:tcW w:w="1220" w:type="dxa"/>
            <w:vAlign w:val="bottom"/>
          </w:tcPr>
          <w:p>
            <w:pPr>
              <w:jc w:val="right"/>
              <w:spacing w:after="0"/>
              <w:rPr>
                <w:sz w:val="20"/>
                <w:szCs w:val="20"/>
                <w:color w:val="auto"/>
              </w:rPr>
            </w:pPr>
            <w:r>
              <w:rPr>
                <w:rFonts w:ascii="Arial" w:cs="Arial" w:eastAsia="Arial" w:hAnsi="Arial"/>
                <w:sz w:val="16"/>
                <w:szCs w:val="16"/>
                <w:color w:val="auto"/>
              </w:rPr>
              <w:t>21.7</w:t>
            </w:r>
          </w:p>
        </w:tc>
        <w:tc>
          <w:tcPr>
            <w:tcW w:w="200" w:type="dxa"/>
            <w:vAlign w:val="bottom"/>
          </w:tcPr>
          <w:p>
            <w:pPr>
              <w:spacing w:after="0"/>
              <w:rPr>
                <w:sz w:val="18"/>
                <w:szCs w:val="18"/>
                <w:color w:val="auto"/>
              </w:rPr>
            </w:pPr>
          </w:p>
        </w:tc>
      </w:tr>
      <w:tr>
        <w:trPr>
          <w:trHeight w:val="219"/>
        </w:trPr>
        <w:tc>
          <w:tcPr>
            <w:tcW w:w="182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76.1%</w:t>
            </w:r>
          </w:p>
        </w:tc>
        <w:tc>
          <w:tcPr>
            <w:tcW w:w="6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r>
    </w:tbl>
    <w:p>
      <w:pPr>
        <w:spacing w:after="0" w:line="193" w:lineRule="exact"/>
        <w:rPr>
          <w:sz w:val="20"/>
          <w:szCs w:val="20"/>
          <w:color w:val="auto"/>
        </w:rPr>
      </w:pPr>
    </w:p>
    <w:p>
      <w:pPr>
        <w:ind w:right="40" w:firstLine="510"/>
        <w:spacing w:after="0" w:line="335" w:lineRule="auto"/>
        <w:rPr>
          <w:sz w:val="20"/>
          <w:szCs w:val="20"/>
          <w:color w:val="auto"/>
        </w:rPr>
      </w:pPr>
      <w:r>
        <w:rPr>
          <w:rFonts w:ascii="Arial" w:cs="Arial" w:eastAsia="Arial" w:hAnsi="Arial"/>
          <w:sz w:val="14"/>
          <w:szCs w:val="14"/>
          <w:color w:val="auto"/>
        </w:rPr>
        <w:t>Cost of revenue increased $7.1 million, or 26.3%, to $34.1 million for the year ended December 31, 2020 from $27.0 million for the year ended December 31, 2019, primarily as a result of higher hosting costs of $2.4 million as a result of increased transactions processed and higher personnel costs of $4.5 million, including stock-based compensation expense. Gross margin increased to 77.6% during the year ended December 31, 2020 from 75.9% during the year ended December 31, 2019.</w:t>
      </w:r>
    </w:p>
    <w:p>
      <w:pPr>
        <w:spacing w:after="0" w:line="149"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Cost of revenue increased $5.1 million, or 23.2%, to $27.0 million in 2019 from $21.9 million in 2018, primarily as a result of higher hosting costs of $1.3 million as a result of increased transactions processed and increases in personnel-related costs of $3.6 million, including stock-based compensation expense, for personnel involved in providing customer support and professional services. Headcount for such personnel as of December 31, 2019 was 180 compared to 145 as of December 31, 2018. Gross margin decreased to 75.9% during 2019 from 76.1% during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our operating expenses for each of the periods indicated: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left="308"/>
              <w:spacing w:after="0"/>
              <w:rPr>
                <w:sz w:val="20"/>
                <w:szCs w:val="20"/>
                <w:color w:val="auto"/>
              </w:rPr>
            </w:pPr>
            <w:r>
              <w:rPr>
                <w:rFonts w:ascii="Arial" w:cs="Arial" w:eastAsia="Arial" w:hAnsi="Arial"/>
                <w:sz w:val="13"/>
                <w:szCs w:val="13"/>
                <w:b w:val="1"/>
                <w:bCs w:val="1"/>
                <w:color w:val="auto"/>
                <w:w w:val="85"/>
              </w:rPr>
              <w:t>Year ended</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left="348"/>
              <w:spacing w:after="0"/>
              <w:rPr>
                <w:sz w:val="20"/>
                <w:szCs w:val="20"/>
                <w:color w:val="auto"/>
              </w:rPr>
            </w:pPr>
            <w:r>
              <w:rPr>
                <w:rFonts w:ascii="Arial" w:cs="Arial" w:eastAsia="Arial" w:hAnsi="Arial"/>
                <w:sz w:val="13"/>
                <w:szCs w:val="13"/>
                <w:b w:val="1"/>
                <w:bCs w:val="1"/>
                <w:color w:val="auto"/>
                <w:w w:val="85"/>
              </w:rPr>
              <w:t>Year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1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308"/>
              <w:spacing w:after="0"/>
              <w:rPr>
                <w:sz w:val="20"/>
                <w:szCs w:val="20"/>
                <w:color w:val="auto"/>
              </w:rPr>
            </w:pPr>
            <w:r>
              <w:rPr>
                <w:rFonts w:ascii="Arial" w:cs="Arial" w:eastAsia="Arial" w:hAnsi="Arial"/>
                <w:sz w:val="13"/>
                <w:szCs w:val="13"/>
                <w:b w:val="1"/>
                <w:bCs w:val="1"/>
                <w:color w:val="auto"/>
                <w:w w:val="85"/>
              </w:rPr>
              <w:t>December 31,</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Change</w:t>
            </w: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3"/>
                <w:szCs w:val="13"/>
                <w:b w:val="1"/>
                <w:bCs w:val="1"/>
                <w:color w:val="auto"/>
                <w:w w:val="87"/>
              </w:rPr>
              <w:t>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3"/>
                <w:szCs w:val="13"/>
                <w:color w:val="auto"/>
              </w:rPr>
            </w:pPr>
          </w:p>
        </w:tc>
      </w:tr>
      <w:tr>
        <w:trPr>
          <w:trHeight w:val="156"/>
        </w:trPr>
        <w:tc>
          <w:tcPr>
            <w:tcW w:w="1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w w:val="96"/>
              </w:rPr>
              <w:t>2019</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w w:val="97"/>
              </w:rPr>
              <w:t>Amount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6"/>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w:t>
            </w:r>
          </w:p>
        </w:tc>
      </w:tr>
      <w:tr>
        <w:trPr>
          <w:trHeight w:val="142"/>
        </w:trPr>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80" w:type="dxa"/>
            <w:vAlign w:val="bottom"/>
            <w:gridSpan w:val="4"/>
          </w:tcPr>
          <w:p>
            <w:pPr>
              <w:jc w:val="right"/>
              <w:ind w:right="791"/>
              <w:spacing w:after="0" w:line="142" w:lineRule="exact"/>
              <w:rPr>
                <w:sz w:val="20"/>
                <w:szCs w:val="20"/>
                <w:color w:val="auto"/>
              </w:rPr>
            </w:pPr>
            <w:r>
              <w:rPr>
                <w:rFonts w:ascii="Arial" w:cs="Arial" w:eastAsia="Arial" w:hAnsi="Arial"/>
                <w:sz w:val="13"/>
                <w:szCs w:val="13"/>
                <w:b w:val="1"/>
                <w:bCs w:val="1"/>
                <w:color w:val="auto"/>
                <w:w w:val="88"/>
              </w:rPr>
              <w:t>(dollars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4"/>
          </w:tcPr>
          <w:p>
            <w:pPr>
              <w:jc w:val="right"/>
              <w:ind w:right="831"/>
              <w:spacing w:after="0" w:line="142" w:lineRule="exact"/>
              <w:rPr>
                <w:sz w:val="20"/>
                <w:szCs w:val="20"/>
                <w:color w:val="auto"/>
              </w:rPr>
            </w:pPr>
            <w:r>
              <w:rPr>
                <w:rFonts w:ascii="Arial" w:cs="Arial" w:eastAsia="Arial" w:hAnsi="Arial"/>
                <w:sz w:val="13"/>
                <w:szCs w:val="13"/>
                <w:b w:val="1"/>
                <w:bCs w:val="1"/>
                <w:color w:val="auto"/>
                <w:w w:val="95"/>
              </w:rPr>
              <w:t>(dollars in thousands)</w:t>
            </w:r>
          </w:p>
        </w:tc>
        <w:tc>
          <w:tcPr>
            <w:tcW w:w="820" w:type="dxa"/>
            <w:vAlign w:val="bottom"/>
          </w:tcPr>
          <w:p>
            <w:pPr>
              <w:spacing w:after="0"/>
              <w:rPr>
                <w:sz w:val="12"/>
                <w:szCs w:val="12"/>
                <w:color w:val="auto"/>
              </w:rPr>
            </w:pPr>
          </w:p>
        </w:tc>
      </w:tr>
      <w:tr>
        <w:trPr>
          <w:trHeight w:val="216"/>
        </w:trPr>
        <w:tc>
          <w:tcPr>
            <w:tcW w:w="194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148"/>
              <w:spacing w:after="0"/>
              <w:rPr>
                <w:sz w:val="20"/>
                <w:szCs w:val="20"/>
                <w:color w:val="auto"/>
              </w:rPr>
            </w:pPr>
            <w:r>
              <w:rPr>
                <w:rFonts w:ascii="Arial" w:cs="Arial" w:eastAsia="Arial" w:hAnsi="Arial"/>
                <w:sz w:val="16"/>
                <w:szCs w:val="16"/>
                <w:color w:val="auto"/>
              </w:rPr>
              <w:t>72,470</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60,740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11,730</w:t>
            </w:r>
          </w:p>
        </w:tc>
        <w:tc>
          <w:tcPr>
            <w:tcW w:w="26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19.3%  $</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60,740</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45,928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14,812</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r>
      <w:tr>
        <w:trPr>
          <w:trHeight w:val="210"/>
        </w:trPr>
        <w:tc>
          <w:tcPr>
            <w:tcW w:w="1940" w:type="dxa"/>
            <w:vAlign w:val="bottom"/>
          </w:tcPr>
          <w:p>
            <w:pPr>
              <w:spacing w:after="0"/>
              <w:rPr>
                <w:sz w:val="20"/>
                <w:szCs w:val="20"/>
                <w:color w:val="auto"/>
              </w:rPr>
            </w:pPr>
            <w:r>
              <w:rPr>
                <w:rFonts w:ascii="Arial" w:cs="Arial" w:eastAsia="Arial" w:hAnsi="Arial"/>
                <w:sz w:val="16"/>
                <w:szCs w:val="16"/>
                <w:color w:val="auto"/>
              </w:rPr>
              <w:t>Percentage of revenue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w:t>
            </w:r>
          </w:p>
        </w:tc>
        <w:tc>
          <w:tcPr>
            <w:tcW w:w="2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54.2%</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r>
    </w:tbl>
    <w:p>
      <w:pPr>
        <w:spacing w:after="0" w:line="239"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Sales and marketing expenses increased $11.7 million, or 19.3%, to $72.5 million for the year ended December 31, 2020 from $60.7 million for the year ended December 31, 2019, primarily due to higher staffing costs of $13.7 million, including stock-based compensation expense and bonuses, offset by a reduction in travel and marketing related expenditures of $2.4 million due to shifts in event timing due to the COVID-19 pandemic. As a percentage of total revenue, sales and marketing expenses decreased to 47.6% during the year ended December 31, 2020 from 54.2% during the year ended December 31, 2019, primarily due to increased operating leverage from revenue growth.</w:t>
      </w:r>
    </w:p>
    <w:p>
      <w:pPr>
        <w:spacing w:after="0" w:line="190" w:lineRule="exact"/>
        <w:rPr>
          <w:sz w:val="20"/>
          <w:szCs w:val="20"/>
          <w:color w:val="auto"/>
        </w:rPr>
      </w:pPr>
    </w:p>
    <w:p>
      <w:pPr>
        <w:ind w:right="120" w:firstLine="510"/>
        <w:spacing w:after="0" w:line="318" w:lineRule="auto"/>
        <w:rPr>
          <w:sz w:val="20"/>
          <w:szCs w:val="20"/>
          <w:color w:val="auto"/>
        </w:rPr>
      </w:pPr>
      <w:r>
        <w:rPr>
          <w:rFonts w:ascii="Arial" w:cs="Arial" w:eastAsia="Arial" w:hAnsi="Arial"/>
          <w:sz w:val="14"/>
          <w:szCs w:val="14"/>
          <w:color w:val="auto"/>
        </w:rPr>
        <w:t>Sales and marketing expenses increased $14.8 million, or 32.3%, to $60.7 million in 2019 from $45.9 million in 2018, primarily due to an increase of $11.1 million in personnel-related costs, including stock-based compensation expense, for personnel engaged in acquiring new customers and marketing our products and services. Total sales and marketing headcount as of December 31, 2019 was 181 compared to 155 as of December 31, 2018. The increase was also attributed to a $3.3 million increase in marketing program spend to continue the promotion of our products and services globally. As a percentage of total revenue, sales and marketing expenses increased to 54.2% during 2019 from 50.0% during 2018, primarily due to investments in sales and marketing teams in London, UK and Sydney, Australia.</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5"/>
              </w:rPr>
              <w:t>Year ended</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8"/>
              </w:rPr>
              <w:t>Year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3"/>
                <w:szCs w:val="13"/>
                <w:b w:val="1"/>
                <w:bCs w:val="1"/>
                <w:color w:val="auto"/>
                <w:w w:val="87"/>
              </w:rPr>
              <w:t>December 31,</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Change</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3"/>
                <w:szCs w:val="13"/>
                <w:b w:val="1"/>
                <w:bCs w:val="1"/>
                <w:color w:val="auto"/>
                <w:w w:val="87"/>
              </w:rPr>
              <w:t>December 31,</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3"/>
                <w:szCs w:val="13"/>
                <w:color w:val="auto"/>
              </w:rPr>
            </w:pPr>
          </w:p>
        </w:tc>
      </w:tr>
      <w:tr>
        <w:trPr>
          <w:trHeight w:val="155"/>
        </w:trPr>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6"/>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w:t>
            </w:r>
          </w:p>
        </w:tc>
      </w:tr>
      <w:tr>
        <w:trPr>
          <w:trHeight w:val="142"/>
        </w:trPr>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5"/>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4"/>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820" w:type="dxa"/>
            <w:vAlign w:val="bottom"/>
          </w:tcPr>
          <w:p>
            <w:pPr>
              <w:spacing w:after="0"/>
              <w:rPr>
                <w:sz w:val="12"/>
                <w:szCs w:val="12"/>
                <w:color w:val="auto"/>
              </w:rPr>
            </w:pPr>
          </w:p>
        </w:tc>
      </w:tr>
      <w:tr>
        <w:trPr>
          <w:trHeight w:val="216"/>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48,332</w:t>
            </w: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43,123</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5,209</w:t>
            </w:r>
          </w:p>
        </w:tc>
        <w:tc>
          <w:tcPr>
            <w:tcW w:w="3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12.1%  $</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43,123</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42,485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638</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2160" w:type="dxa"/>
            <w:vAlign w:val="bottom"/>
          </w:tcPr>
          <w:p>
            <w:pPr>
              <w:spacing w:after="0"/>
              <w:rPr>
                <w:sz w:val="20"/>
                <w:szCs w:val="20"/>
                <w:color w:val="auto"/>
              </w:rPr>
            </w:pPr>
            <w:r>
              <w:rPr>
                <w:rFonts w:ascii="Arial" w:cs="Arial" w:eastAsia="Arial" w:hAnsi="Arial"/>
                <w:sz w:val="16"/>
                <w:szCs w:val="16"/>
                <w:color w:val="auto"/>
              </w:rPr>
              <w:t>Percentage of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r>
    </w:tbl>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Research and development expenses increased $5.2 million, or 12.1%, to $48.3 million for the year ended December 31, 2020 from $43.1 million for the year ended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 primarily due to higher staffing costs of $5.4 million including stock-based compensation and bonuses, however declined as a percentage of revenue.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This decline reflects our leverage of previous enhancements to our platform capabilities and prior development of new product offerings.</w:t>
      </w:r>
    </w:p>
    <w:p>
      <w:pPr>
        <w:spacing w:after="0" w:line="231"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Research and development expenses were relatively unchanged in absolute dollars for the year ended December 31, 2019 compared to December 31, 2018, however declined as a percentage of revenue, which is reflective of our efforts to leverage the previous enhancements to our platform capabilities and prior development of new product offerings. By opening and expanding an engineering center in Kyiv, Ukraine in 2019, we increased our lower-cost development capacity, further driving leverage in research and development spend as a percentage of revenue. Total research and development headcount as of December 31, 2019 was 190 compared to 191 as of December 31, 2018.</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5"/>
              </w:rPr>
              <w:t>Year ended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8"/>
              </w:rPr>
              <w:t>Year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3"/>
        </w:trPr>
        <w:tc>
          <w:tcPr>
            <w:tcW w:w="2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3"/>
                <w:szCs w:val="13"/>
                <w:b w:val="1"/>
                <w:bCs w:val="1"/>
                <w:color w:val="auto"/>
                <w:w w:val="85"/>
              </w:rPr>
              <w:t>December 31,</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Change</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3"/>
                <w:szCs w:val="13"/>
                <w:b w:val="1"/>
                <w:bCs w:val="1"/>
                <w:color w:val="auto"/>
                <w:w w:val="87"/>
              </w:rPr>
              <w:t>December 31,</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3"/>
                <w:szCs w:val="13"/>
                <w:color w:val="auto"/>
              </w:rPr>
            </w:pPr>
          </w:p>
        </w:tc>
      </w:tr>
      <w:tr>
        <w:trPr>
          <w:trHeight w:val="155"/>
        </w:trPr>
        <w:tc>
          <w:tcPr>
            <w:tcW w:w="2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6"/>
              <w:spacing w:after="0" w:line="155"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6"/>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w:t>
            </w:r>
          </w:p>
        </w:tc>
      </w:tr>
      <w:tr>
        <w:trPr>
          <w:trHeight w:val="142"/>
        </w:trPr>
        <w:tc>
          <w:tcPr>
            <w:tcW w:w="2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5"/>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4"/>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820" w:type="dxa"/>
            <w:vAlign w:val="bottom"/>
          </w:tcPr>
          <w:p>
            <w:pPr>
              <w:spacing w:after="0"/>
              <w:rPr>
                <w:sz w:val="12"/>
                <w:szCs w:val="12"/>
                <w:color w:val="auto"/>
              </w:rPr>
            </w:pPr>
          </w:p>
        </w:tc>
      </w:tr>
      <w:tr>
        <w:trPr>
          <w:trHeight w:val="216"/>
        </w:trPr>
        <w:tc>
          <w:tcPr>
            <w:tcW w:w="21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36,137</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22,204</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13,933</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62.7%</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22,204</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19,497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2,707</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r>
      <w:tr>
        <w:trPr>
          <w:trHeight w:val="210"/>
        </w:trPr>
        <w:tc>
          <w:tcPr>
            <w:tcW w:w="2180" w:type="dxa"/>
            <w:vAlign w:val="bottom"/>
          </w:tcPr>
          <w:p>
            <w:pPr>
              <w:spacing w:after="0"/>
              <w:rPr>
                <w:sz w:val="20"/>
                <w:szCs w:val="20"/>
                <w:color w:val="auto"/>
              </w:rPr>
            </w:pPr>
            <w:r>
              <w:rPr>
                <w:rFonts w:ascii="Arial" w:cs="Arial" w:eastAsia="Arial" w:hAnsi="Arial"/>
                <w:sz w:val="16"/>
                <w:szCs w:val="16"/>
                <w:color w:val="auto"/>
              </w:rPr>
              <w:t>Percentage of revenue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239" w:lineRule="exact"/>
        <w:rPr>
          <w:sz w:val="20"/>
          <w:szCs w:val="20"/>
          <w:color w:val="auto"/>
        </w:rPr>
      </w:pPr>
    </w:p>
    <w:p>
      <w:pPr>
        <w:jc w:val="both"/>
        <w:ind w:right="400" w:firstLine="510"/>
        <w:spacing w:after="0" w:line="305" w:lineRule="auto"/>
        <w:rPr>
          <w:sz w:val="20"/>
          <w:szCs w:val="20"/>
          <w:color w:val="auto"/>
        </w:rPr>
      </w:pPr>
      <w:r>
        <w:rPr>
          <w:rFonts w:ascii="Arial" w:cs="Arial" w:eastAsia="Arial" w:hAnsi="Arial"/>
          <w:sz w:val="15"/>
          <w:szCs w:val="15"/>
          <w:color w:val="auto"/>
        </w:rPr>
        <w:t>General and administrative expenses increased $13.9 million, or 62.7%, to $36.1 million for the year ended December 31, 2020 from $22.2 million for the year ended December 31, 2019. The increase was primarily due to increased staffing costs of $11.0 million, including stock-based compensation expense and bonuses, and additional public company compliance costs including, but not limited to director and officer insurance amounting to $2.3 million.</w:t>
      </w:r>
    </w:p>
    <w:p>
      <w:pPr>
        <w:spacing w:after="0" w:line="166"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General and administrative expenses increased $2.7 million, or 13.9%, to $22.2 million in 2019 from $19.5 million in 2018. The increase was primarily due to an increase of $2.4 million in personnel-related expense, including stock-based compensation expense, resulting from the hiring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additional general and administrative personnel. Total general and administrative headcount as of December 31, 2019 was 139 compared to 111 as of December 31, 2018.</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was insignificant for the years ended December 31, 2020 and 2019.</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income decreased $0.4 million, or 62.5%, to $0.2 million in 2019 from $0.7 million in 2018, primarily as a result of lower balances in marketable securities.</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27" w:lineRule="exact"/>
        <w:rPr>
          <w:sz w:val="20"/>
          <w:szCs w:val="20"/>
          <w:color w:val="auto"/>
        </w:rPr>
      </w:pPr>
    </w:p>
    <w:p>
      <w:pPr>
        <w:ind w:right="420" w:firstLine="510"/>
        <w:spacing w:after="0" w:line="293" w:lineRule="auto"/>
        <w:rPr>
          <w:sz w:val="20"/>
          <w:szCs w:val="20"/>
          <w:color w:val="auto"/>
        </w:rPr>
      </w:pPr>
      <w:r>
        <w:rPr>
          <w:rFonts w:ascii="Arial" w:cs="Arial" w:eastAsia="Arial" w:hAnsi="Arial"/>
          <w:sz w:val="16"/>
          <w:szCs w:val="16"/>
          <w:color w:val="auto"/>
        </w:rPr>
        <w:t>Interest expense increased $1.5 million, or 92.5%, to $3.1 million for the year ended December 31, 2020 from $1.6 million for year ended December 31, 2019, primarily as a result of increased bank borrowings used to fund operations.</w:t>
      </w:r>
    </w:p>
    <w:p>
      <w:pPr>
        <w:spacing w:after="0" w:line="172"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Interest expense increased $0.1 million, or 8.3%, to $1.6 million in 2019 from $1.5 million in 2018, primarily as a result of increased bank borrowings used to fund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financial instrument</w:t>
      </w:r>
    </w:p>
    <w:p>
      <w:pPr>
        <w:spacing w:after="0" w:line="12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increase of $4.4 million in the fair value of financial instrument for the year ended December 31, 2020 was the result of a change in fair value of the embedded lenders’ put option on our 2020 Convertible Term Loan.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was insignificant in the years ended December 31, 2020 and 2019.</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was insignificant in the years ended December 31, 2019 and 2018.</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provision for income taxes was insignificant in the years ended December 31, 2020, 2019 and 2018.</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ind w:right="280" w:firstLine="510"/>
        <w:spacing w:after="0" w:line="273" w:lineRule="auto"/>
        <w:rPr>
          <w:sz w:val="20"/>
          <w:szCs w:val="20"/>
          <w:color w:val="auto"/>
        </w:rPr>
      </w:pPr>
      <w:r>
        <w:rPr>
          <w:rFonts w:ascii="Arial" w:cs="Arial" w:eastAsia="Arial" w:hAnsi="Arial"/>
          <w:sz w:val="16"/>
          <w:szCs w:val="16"/>
          <w:color w:val="auto"/>
        </w:rPr>
        <w:t>We have incurred losses since our inception. Prior to our IPO, our operations were financed primarily through net proceeds from the sale of convertible preferred stock and borrowings under our debt instruments. As of December 31, 2020, we had an accumulated deficit of $313.4 million, working capital of $208.2 million and $220.6 million in cash and cash equivalents and restricted cash. Additionally, in December 2020 we fully repaid all outstanding borrowings under our debt facilities and terminated our A&amp;R Credit Facility.</w:t>
      </w:r>
    </w:p>
    <w:p>
      <w:pPr>
        <w:spacing w:after="0" w:line="189"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Our short-term liquidity needs primarily include working capital for sales and marketing, research and development, and continued innovation. We have generated significant operating losses and negative cash flows from operations as reflected in our accumulated deficit and condensed consolidated statements of cash flows.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levels of revenue, the expansion of sales and marketing activities, market acceptance of our platform, the results of business initiatives, the timing of new product introductions, and the impact of the COVID-19 pandemic on the global economy and our business, financial condition, and results of operations. As the impact of the COVID-19 pandemic on the global economy and our operations evolves, we will continue to assess our liquidity needs.</w:t>
      </w:r>
    </w:p>
    <w:p>
      <w:pPr>
        <w:spacing w:after="0" w:line="190" w:lineRule="exact"/>
        <w:rPr>
          <w:sz w:val="20"/>
          <w:szCs w:val="20"/>
          <w:color w:val="auto"/>
        </w:rPr>
      </w:pPr>
    </w:p>
    <w:p>
      <w:pPr>
        <w:ind w:right="260" w:firstLine="510"/>
        <w:spacing w:after="0" w:line="324" w:lineRule="auto"/>
        <w:rPr>
          <w:sz w:val="20"/>
          <w:szCs w:val="20"/>
          <w:color w:val="auto"/>
        </w:rPr>
      </w:pPr>
      <w:r>
        <w:rPr>
          <w:rFonts w:ascii="Arial" w:cs="Arial" w:eastAsia="Arial" w:hAnsi="Arial"/>
          <w:sz w:val="14"/>
          <w:szCs w:val="14"/>
          <w:color w:val="auto"/>
        </w:rPr>
        <w:t>On August 4, 2020, we completed our IPO, in which we issued and sold 7,877,500 shares of our Series 1 common stock, including 1,027,500 shares of Series 1 common stock that were sold pursuant to the exercise in full of the underwriters’ option to purchase additional shares of Series 1 common stock, at $24.00 per share. The IPO resulted in net proceeds of $171.1 million after deducting underwriting discounts, commissions and other offering costs. An additional result of the IPO was the conversion of our 2017 and 2020 Term Loans to Series 1 Common Stock resulting in a $53.9 million reduction in the principal of our outstanding long-term debt.</w:t>
      </w:r>
    </w:p>
    <w:p>
      <w:pPr>
        <w:spacing w:after="0" w:line="157"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On November 12, 2020, we completed our Secondary Offering, in which we issued and sold 1,000,000 shares of our Series 1 common stock at $68.00 per share. The Secondary Offering resulted in net proceeds of $65.1 million after deducting underwriting discounts, commissions and other offering costs. Existing stockholders sold an additional 4,750,000 shares of Series 1 common stock, including 750,000 shares of Series 1 common stock that were sold pursuant to the exercise in full of the underwriters’ option to purchase additional shares of Series 1 common stock at $68.00 per share.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60" w:firstLine="510"/>
        <w:spacing w:after="0" w:line="293" w:lineRule="auto"/>
        <w:rPr>
          <w:sz w:val="20"/>
          <w:szCs w:val="20"/>
          <w:color w:val="auto"/>
        </w:rPr>
      </w:pPr>
      <w:r>
        <w:rPr>
          <w:rFonts w:ascii="Arial" w:cs="Arial" w:eastAsia="Arial" w:hAnsi="Arial"/>
          <w:sz w:val="15"/>
          <w:szCs w:val="15"/>
          <w:color w:val="auto"/>
        </w:rPr>
        <w:t>We believe that our existing cash and cash equivalents and our cash flows from operating activities will be sufficient to meet our working capital and capital expenditure needs for at least the next twelve months. In the future, we may attempt to raise additional capital through the sale of additional equity or debt financing. The sale of additional equity would be dilutive to our stockholders. Additional debt financing could result in increased debt service obligations and more restrictive financial and operational covenants. In the event that additional financing is required from outside sources, we may not be able to raise it on terms acceptable to us or at all. If we are unable to raise additional capital when desired, our business, operating results and financial condition could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our cash flows for the periods indicated.</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6"/>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6"/>
              <w:spacing w:after="0" w:line="142"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(26,529)</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(39,969)</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(30,591)</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(1,964)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6"/>
              <w:spacing w:after="0"/>
              <w:rPr>
                <w:sz w:val="20"/>
                <w:szCs w:val="20"/>
                <w:color w:val="auto"/>
              </w:rPr>
            </w:pPr>
            <w:r>
              <w:rPr>
                <w:rFonts w:ascii="Arial" w:cs="Arial" w:eastAsia="Arial" w:hAnsi="Arial"/>
                <w:sz w:val="16"/>
                <w:szCs w:val="16"/>
                <w:color w:val="auto"/>
              </w:rPr>
              <w:t>17,871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(26,517)</w:t>
            </w: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239,950</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06"/>
              <w:spacing w:after="0"/>
              <w:rPr>
                <w:sz w:val="20"/>
                <w:szCs w:val="20"/>
                <w:color w:val="auto"/>
              </w:rPr>
            </w:pPr>
            <w:r>
              <w:rPr>
                <w:rFonts w:ascii="Arial" w:cs="Arial" w:eastAsia="Arial" w:hAnsi="Arial"/>
                <w:sz w:val="16"/>
                <w:szCs w:val="16"/>
                <w:color w:val="auto"/>
              </w:rPr>
              <w:t>17,351</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64,236</w:t>
            </w:r>
          </w:p>
        </w:tc>
        <w:tc>
          <w:tcPr>
            <w:tcW w:w="100" w:type="dxa"/>
            <w:vAlign w:val="bottom"/>
            <w:shd w:val="clear" w:color="auto" w:fill="CFF0FC"/>
          </w:tcPr>
          <w:p>
            <w:pPr>
              <w:spacing w:after="0"/>
              <w:rPr>
                <w:sz w:val="19"/>
                <w:szCs w:val="19"/>
                <w:color w:val="auto"/>
              </w:rPr>
            </w:pPr>
          </w:p>
        </w:tc>
      </w:tr>
    </w:tbl>
    <w:p>
      <w:pPr>
        <w:spacing w:after="0" w:line="233" w:lineRule="exact"/>
        <w:rPr>
          <w:sz w:val="20"/>
          <w:szCs w:val="20"/>
          <w:color w:val="auto"/>
        </w:rPr>
      </w:pPr>
    </w:p>
    <w:p>
      <w:pPr>
        <w:ind w:firstLine="510"/>
        <w:spacing w:after="0" w:line="305" w:lineRule="auto"/>
        <w:rPr>
          <w:sz w:val="20"/>
          <w:szCs w:val="20"/>
          <w:color w:val="auto"/>
        </w:rPr>
      </w:pPr>
      <w:r>
        <w:rPr>
          <w:rFonts w:ascii="Arial" w:cs="Arial" w:eastAsia="Arial" w:hAnsi="Arial"/>
          <w:sz w:val="15"/>
          <w:szCs w:val="15"/>
          <w:color w:val="auto"/>
        </w:rPr>
        <w:t>As of December 31, 2020, we had $220.6 million in cash, cash equivalents, and restricted cash, an increase of $211.4 million compared to $9.2 million in 2019. Cash and cash equivalents consist of highly-liquid investments with original maturities of less than three months. Restricted cash consists of security deposits for future chargebacks and amounts on deposit with certain financial institutions. We maintain cash account balances in excess of FDIC-insured limits.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27"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Net cash used in operating activities for the years ended December 31, 2020, 2019 and 2018 was $26.5 million, $40.0 million and $30.6 million, respectively. This consisted primarily of our net losses adjusted for certain non-cash items including depreciation and amortization, stock-based compensation, debt discount amortization, bad debt expense, and the effect of changes in working capital.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27"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Net cash used in investing activities during the year ended December 31, 2020 was $2.0 million. It consisted primarily of purchases of property and equipment of $2.0 million.</w:t>
      </w:r>
    </w:p>
    <w:p>
      <w:pPr>
        <w:spacing w:after="0" w:line="17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Net cash provided by investing activities during the year ended December 31, 2019 was $17.9 million. It consisted primarily of proceeds from the sale and maturity of marketable securities of $23.5 million, partially offset by purchases of property and equipment of $5.6 million.</w:t>
      </w:r>
    </w:p>
    <w:p>
      <w:pPr>
        <w:spacing w:after="0" w:line="172" w:lineRule="exact"/>
        <w:rPr>
          <w:sz w:val="20"/>
          <w:szCs w:val="20"/>
          <w:color w:val="auto"/>
        </w:rPr>
      </w:pPr>
    </w:p>
    <w:p>
      <w:pPr>
        <w:ind w:right="220" w:firstLine="510"/>
        <w:spacing w:after="0" w:line="369" w:lineRule="auto"/>
        <w:rPr>
          <w:sz w:val="20"/>
          <w:szCs w:val="20"/>
          <w:color w:val="auto"/>
        </w:rPr>
      </w:pPr>
      <w:r>
        <w:rPr>
          <w:rFonts w:ascii="Arial" w:cs="Arial" w:eastAsia="Arial" w:hAnsi="Arial"/>
          <w:sz w:val="14"/>
          <w:szCs w:val="14"/>
          <w:color w:val="auto"/>
        </w:rPr>
        <w:t>Net cash used in investing activities during the year ended December 31, 2018 was $26.5 million. It consisted primarily of purchases of marketable securities of $33.6 million and purchases of property and equipment of $3.3 million, partially offset by proceeds from the maturities and sale of marketable securities of $10.4 million.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27" w:lineRule="exact"/>
        <w:rPr>
          <w:sz w:val="20"/>
          <w:szCs w:val="20"/>
          <w:color w:val="auto"/>
        </w:rPr>
      </w:pPr>
    </w:p>
    <w:p>
      <w:pPr>
        <w:ind w:right="220" w:firstLine="510"/>
        <w:spacing w:after="0" w:line="273" w:lineRule="auto"/>
        <w:rPr>
          <w:sz w:val="20"/>
          <w:szCs w:val="20"/>
          <w:color w:val="auto"/>
        </w:rPr>
      </w:pPr>
      <w:r>
        <w:rPr>
          <w:rFonts w:ascii="Arial" w:cs="Arial" w:eastAsia="Arial" w:hAnsi="Arial"/>
          <w:sz w:val="16"/>
          <w:szCs w:val="16"/>
          <w:color w:val="auto"/>
        </w:rPr>
        <w:t>Net cash provided by financing activities during the year ended December 31, 2020 was $240.0 million. In the year ended December 31, 2020, our IPO and Secondary Offering proceeds, net of underwriting discounts, commissions and other offering costs, provided $236.2 million, bank borrowings provided $41.9 million and issuance of shares of Series 1 common stock pursuant to the exercise of stock options provided $3.3 million, which was partially offset by the payment of dividends and repayment of debt for $12.8 million and $28.6 million respectively.</w:t>
      </w:r>
    </w:p>
    <w:p>
      <w:pPr>
        <w:spacing w:after="0" w:line="189"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Net cash provided by financing activities during the year ended December 31, 2019 was $17.4 million. In the year ended December 31, 2019, bank borrowings provided $18.5 million, and issuance of shares of Series 1 common stock pursuant to the exercise of stock options provided $0.9 million, slightly offset by debt repayments of $2.0 million.</w:t>
      </w:r>
    </w:p>
    <w:p>
      <w:pPr>
        <w:spacing w:after="0" w:line="184" w:lineRule="exact"/>
        <w:rPr>
          <w:sz w:val="20"/>
          <w:szCs w:val="20"/>
          <w:color w:val="auto"/>
        </w:rPr>
      </w:pPr>
    </w:p>
    <w:p>
      <w:pPr>
        <w:jc w:val="both"/>
        <w:ind w:right="260" w:firstLine="510"/>
        <w:spacing w:after="0" w:line="278" w:lineRule="auto"/>
        <w:rPr>
          <w:sz w:val="20"/>
          <w:szCs w:val="20"/>
          <w:color w:val="auto"/>
        </w:rPr>
      </w:pPr>
      <w:r>
        <w:rPr>
          <w:rFonts w:ascii="Arial" w:cs="Arial" w:eastAsia="Arial" w:hAnsi="Arial"/>
          <w:sz w:val="16"/>
          <w:szCs w:val="16"/>
          <w:color w:val="auto"/>
        </w:rPr>
        <w:t>Net cash provided by financing activities during the year ended December 31, 2018 was $64.2 million, respectively. In the year ended December 31, 2018, $63.6 million was provided by the issuance of convertible preferred stock and the issuance of shares of Series 1 common stock pursuant to the exercise of stock options of $0.6 million.</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Indebtedness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facility</w:t>
      </w:r>
    </w:p>
    <w:p>
      <w:pPr>
        <w:spacing w:after="0" w:line="127"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color w:val="auto"/>
        </w:rPr>
        <w:t>On October 27, 2017, we entered into our Credit Facility with SVB, which we subsequently amended in August 2018 and June 2019. The Credit Facility provided a $25.0 million revolving line of credit with a maturity date of October 27, 2021 (the “Revolving Line”), a $5.0 million term loan with a maturity date of September 1, 2021 (the “2018 Term Loan”), and an undrawn $5.0 million term loan.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340" w:firstLine="510"/>
        <w:spacing w:after="0" w:line="324" w:lineRule="auto"/>
        <w:rPr>
          <w:sz w:val="20"/>
          <w:szCs w:val="20"/>
          <w:color w:val="auto"/>
        </w:rPr>
      </w:pPr>
      <w:r>
        <w:rPr>
          <w:rFonts w:ascii="Arial" w:cs="Arial" w:eastAsia="Arial" w:hAnsi="Arial"/>
          <w:sz w:val="14"/>
          <w:szCs w:val="14"/>
          <w:color w:val="auto"/>
        </w:rPr>
        <w:t>In February 2020, we entered into the A&amp;R Credit Facility, which amended and restated the Credit Facility. Among other amendments, the A&amp;R Credit Facility reduced the amount available under the Revolving Line by $5.0 million to $20.0 million, effective concurrent with the funding of the 2020 Convertible Term Loan. We entered into a first amendment to the A&amp;R Credit Facility on September 29, 2020, which delayed the planned decrease in the Revolving Line to $10.0 million until December 31, 2020. We repaid all borrowings outstanding under this agreement in December 2020 and terminated this facility effective as of December 29, 2020.</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Mezzanine facility</w:t>
      </w:r>
    </w:p>
    <w:p>
      <w:pPr>
        <w:spacing w:after="0" w:line="127" w:lineRule="exact"/>
        <w:rPr>
          <w:sz w:val="20"/>
          <w:szCs w:val="20"/>
          <w:color w:val="auto"/>
        </w:rPr>
      </w:pPr>
    </w:p>
    <w:p>
      <w:pPr>
        <w:jc w:val="both"/>
        <w:ind w:right="320" w:firstLine="510"/>
        <w:spacing w:after="0" w:line="305" w:lineRule="auto"/>
        <w:rPr>
          <w:sz w:val="20"/>
          <w:szCs w:val="20"/>
          <w:color w:val="auto"/>
        </w:rPr>
      </w:pPr>
      <w:r>
        <w:rPr>
          <w:rFonts w:ascii="Arial" w:cs="Arial" w:eastAsia="Arial" w:hAnsi="Arial"/>
          <w:sz w:val="15"/>
          <w:szCs w:val="15"/>
          <w:color w:val="auto"/>
        </w:rPr>
        <w:t>On February 28, 2020, we entered into a mezzanine loan and security agreement (the “Mezzanine Facility”) with WestRiver Innovation Lending Fund VIII, L.P. providing for a term loan of $10.0 million with a draw period that expired on September 30, 2020. The Mezzanine Facility remained undrawn as of the expiration of the draw period and was terminated as a result of such expiration. We formally terminated the Mezzanine Facility effective as of November 6, 2020.</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31" w:lineRule="exact"/>
        <w:rPr>
          <w:sz w:val="20"/>
          <w:szCs w:val="20"/>
          <w:color w:val="auto"/>
        </w:rPr>
      </w:pPr>
    </w:p>
    <w:p>
      <w:pPr>
        <w:ind w:right="120" w:firstLine="510"/>
        <w:spacing w:after="0" w:line="328" w:lineRule="auto"/>
        <w:rPr>
          <w:sz w:val="20"/>
          <w:szCs w:val="20"/>
          <w:color w:val="auto"/>
        </w:rPr>
      </w:pPr>
      <w:r>
        <w:rPr>
          <w:rFonts w:ascii="Arial" w:cs="Arial" w:eastAsia="Arial" w:hAnsi="Arial"/>
          <w:sz w:val="15"/>
          <w:szCs w:val="15"/>
          <w:color w:val="auto"/>
        </w:rPr>
        <w:t>Our principal commitments consist of (1) obligations under our A&amp;R Credit Facility, (2) operating leases for office space, and (3) purchase obligations with certain technology providers used to host our platform. The following table summarizes our commitments to settle contractual obligations as of December 31, 2020.</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4"/>
        </w:trPr>
        <w:tc>
          <w:tcPr>
            <w:tcW w:w="35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w w:val="85"/>
              </w:rPr>
              <w:t>Less than</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85"/>
              <w:spacing w:after="0" w:line="124" w:lineRule="exact"/>
              <w:rPr>
                <w:sz w:val="20"/>
                <w:szCs w:val="20"/>
                <w:color w:val="auto"/>
              </w:rPr>
            </w:pPr>
            <w:r>
              <w:rPr>
                <w:rFonts w:ascii="Arial" w:cs="Arial" w:eastAsia="Arial" w:hAnsi="Arial"/>
                <w:sz w:val="13"/>
                <w:szCs w:val="13"/>
                <w:b w:val="1"/>
                <w:bCs w:val="1"/>
                <w:color w:val="auto"/>
                <w:w w:val="90"/>
              </w:rPr>
              <w:t>More than 5</w:t>
            </w:r>
          </w:p>
        </w:tc>
        <w:tc>
          <w:tcPr>
            <w:tcW w:w="100" w:type="dxa"/>
            <w:vAlign w:val="bottom"/>
          </w:tcPr>
          <w:p>
            <w:pPr>
              <w:spacing w:after="0"/>
              <w:rPr>
                <w:sz w:val="10"/>
                <w:szCs w:val="10"/>
                <w:color w:val="auto"/>
              </w:rPr>
            </w:pPr>
          </w:p>
        </w:tc>
      </w:tr>
      <w:tr>
        <w:trPr>
          <w:trHeight w:val="153"/>
        </w:trPr>
        <w:tc>
          <w:tcPr>
            <w:tcW w:w="3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83"/>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1 year</w:t>
            </w:r>
          </w:p>
        </w:tc>
        <w:tc>
          <w:tcPr>
            <w:tcW w:w="120" w:type="dxa"/>
            <w:vAlign w:val="bottom"/>
          </w:tcPr>
          <w:p>
            <w:pPr>
              <w:spacing w:after="0"/>
              <w:rPr>
                <w:sz w:val="13"/>
                <w:szCs w:val="13"/>
                <w:color w:val="auto"/>
              </w:rPr>
            </w:pPr>
          </w:p>
        </w:tc>
        <w:tc>
          <w:tcPr>
            <w:tcW w:w="900" w:type="dxa"/>
            <w:vAlign w:val="bottom"/>
          </w:tcPr>
          <w:p>
            <w:pPr>
              <w:jc w:val="right"/>
              <w:ind w:right="147"/>
              <w:spacing w:after="0"/>
              <w:rPr>
                <w:sz w:val="20"/>
                <w:szCs w:val="20"/>
                <w:color w:val="auto"/>
              </w:rPr>
            </w:pPr>
            <w:r>
              <w:rPr>
                <w:rFonts w:ascii="Arial" w:cs="Arial" w:eastAsia="Arial" w:hAnsi="Arial"/>
                <w:sz w:val="13"/>
                <w:szCs w:val="13"/>
                <w:b w:val="1"/>
                <w:bCs w:val="1"/>
                <w:color w:val="auto"/>
                <w:w w:val="97"/>
              </w:rPr>
              <w:t>1 – 3 Years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3 – 5 Years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years</w:t>
            </w:r>
          </w:p>
        </w:tc>
      </w:tr>
      <w:tr>
        <w:trPr>
          <w:trHeight w:val="142"/>
        </w:trPr>
        <w:tc>
          <w:tcPr>
            <w:tcW w:w="35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7"/>
              <w:spacing w:after="0" w:line="142" w:lineRule="exact"/>
              <w:rPr>
                <w:sz w:val="20"/>
                <w:szCs w:val="20"/>
                <w:color w:val="auto"/>
              </w:rPr>
            </w:pPr>
            <w:r>
              <w:rPr>
                <w:rFonts w:ascii="Arial" w:cs="Arial" w:eastAsia="Arial" w:hAnsi="Arial"/>
                <w:sz w:val="13"/>
                <w:szCs w:val="13"/>
                <w:b w:val="1"/>
                <w:bCs w:val="1"/>
                <w:color w:val="auto"/>
                <w:w w:val="84"/>
              </w:rPr>
              <w:t>(in thousands)</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40" w:type="dxa"/>
            <w:vAlign w:val="bottom"/>
            <w:shd w:val="clear" w:color="auto" w:fill="CFF0FC"/>
          </w:tcPr>
          <w:p>
            <w:pPr>
              <w:spacing w:after="0"/>
              <w:rPr>
                <w:sz w:val="20"/>
                <w:szCs w:val="20"/>
                <w:color w:val="auto"/>
              </w:rPr>
            </w:pPr>
            <w:r>
              <w:rPr>
                <w:rFonts w:ascii="Arial" w:cs="Arial" w:eastAsia="Arial" w:hAnsi="Arial"/>
                <w:sz w:val="16"/>
                <w:szCs w:val="16"/>
                <w:color w:val="auto"/>
              </w:rPr>
              <w:t>Long term debt obligations</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spacing w:after="0"/>
              <w:rPr>
                <w:sz w:val="20"/>
                <w:szCs w:val="20"/>
                <w:color w:val="auto"/>
              </w:rPr>
            </w:pPr>
            <w:r>
              <w:rPr>
                <w:rFonts w:ascii="Arial" w:cs="Arial" w:eastAsia="Arial" w:hAnsi="Arial"/>
                <w:sz w:val="16"/>
                <w:szCs w:val="16"/>
                <w:color w:val="auto"/>
              </w:rPr>
              <w:t>Lease obligations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4,923</w:t>
            </w:r>
          </w:p>
        </w:tc>
        <w:tc>
          <w:tcPr>
            <w:tcW w:w="100" w:type="dxa"/>
            <w:vAlign w:val="bottom"/>
          </w:tcPr>
          <w:p>
            <w:pPr>
              <w:spacing w:after="0"/>
              <w:rPr>
                <w:sz w:val="18"/>
                <w:szCs w:val="18"/>
                <w:color w:val="auto"/>
              </w:rPr>
            </w:pPr>
          </w:p>
        </w:tc>
      </w:tr>
      <w:tr>
        <w:trPr>
          <w:trHeight w:val="219"/>
        </w:trPr>
        <w:tc>
          <w:tcPr>
            <w:tcW w:w="3540" w:type="dxa"/>
            <w:vAlign w:val="bottom"/>
            <w:shd w:val="clear" w:color="auto" w:fill="CFF0FC"/>
          </w:tcPr>
          <w:p>
            <w:pPr>
              <w:spacing w:after="0"/>
              <w:rPr>
                <w:sz w:val="20"/>
                <w:szCs w:val="20"/>
                <w:color w:val="auto"/>
              </w:rPr>
            </w:pPr>
            <w:r>
              <w:rPr>
                <w:rFonts w:ascii="Arial" w:cs="Arial" w:eastAsia="Arial" w:hAnsi="Arial"/>
                <w:sz w:val="16"/>
                <w:szCs w:val="16"/>
                <w:color w:val="auto"/>
              </w:rPr>
              <w:t>Purchase obligations</w:t>
            </w:r>
          </w:p>
        </w:tc>
        <w:tc>
          <w:tcPr>
            <w:tcW w:w="1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10,455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6,122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07"/>
        </w:trPr>
        <w:tc>
          <w:tcPr>
            <w:tcW w:w="3540" w:type="dxa"/>
            <w:vAlign w:val="bottom"/>
          </w:tcPr>
          <w:p>
            <w:pPr>
              <w:spacing w:after="0"/>
              <w:rPr>
                <w:sz w:val="20"/>
                <w:szCs w:val="20"/>
                <w:color w:val="auto"/>
              </w:rPr>
            </w:pPr>
            <w:r>
              <w:rPr>
                <w:rFonts w:ascii="Arial" w:cs="Arial" w:eastAsia="Arial" w:hAnsi="Arial"/>
                <w:sz w:val="16"/>
                <w:szCs w:val="16"/>
                <w:color w:val="auto"/>
              </w:rPr>
              <w:t>Total contractual obligations</w:t>
            </w:r>
          </w:p>
        </w:tc>
        <w:tc>
          <w:tcPr>
            <w:tcW w:w="1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29,106</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10,049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9,880</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4,254</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4,923</w:t>
            </w:r>
          </w:p>
        </w:tc>
        <w:tc>
          <w:tcPr>
            <w:tcW w:w="10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any off-balance sheet arrangements as of December 31, 2020 or as of December 31, 2019.</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31" w:lineRule="exact"/>
        <w:rPr>
          <w:sz w:val="20"/>
          <w:szCs w:val="20"/>
          <w:color w:val="auto"/>
        </w:rPr>
      </w:pPr>
    </w:p>
    <w:p>
      <w:pPr>
        <w:ind w:right="40" w:firstLine="510"/>
        <w:spacing w:after="0" w:line="293" w:lineRule="auto"/>
        <w:rPr>
          <w:sz w:val="20"/>
          <w:szCs w:val="20"/>
          <w:color w:val="auto"/>
        </w:rPr>
      </w:pPr>
      <w:r>
        <w:rPr>
          <w:rFonts w:ascii="Arial" w:cs="Arial" w:eastAsia="Arial" w:hAnsi="Arial"/>
          <w:sz w:val="15"/>
          <w:szCs w:val="15"/>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We also make estimates and assumptions on the reported revenue generated and reported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176"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While our significant accounting policies are described in the notes to our included consolidated financial statements, we believe the following critical accounting policies are most important to understanding and evaluating our reported financial results.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recognize revenue from two sources: (1) subscription solutions revenue and (2) partner and services revenue.</w:t>
      </w:r>
    </w:p>
    <w:p>
      <w:pPr>
        <w:spacing w:after="0" w:line="23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6"/>
          <w:szCs w:val="16"/>
          <w:color w:val="auto"/>
        </w:rPr>
        <w:t>Subscription solutions revenue consists of: (1) platform subscription fees, (2) recurring professional services, and (3) sales of SSL certificates. We generally recognize platform subscription fees and recurring professional services revenue in the month they are earned. We begin revenue recognition on the date that our service is made available to our customers. We recognize SSL certificates revenue ratably over the term of the certificates. Fixed monthly fees and any overage charges related to subscription solutions are recognized as revenue in the month they are earned.</w:t>
      </w:r>
    </w:p>
    <w:p>
      <w:pPr>
        <w:spacing w:after="0" w:line="189" w:lineRule="exact"/>
        <w:rPr>
          <w:sz w:val="20"/>
          <w:szCs w:val="20"/>
          <w:color w:val="auto"/>
        </w:rPr>
      </w:pPr>
    </w:p>
    <w:p>
      <w:pPr>
        <w:jc w:val="both"/>
        <w:ind w:right="360" w:firstLine="510"/>
        <w:spacing w:after="0" w:line="297" w:lineRule="auto"/>
        <w:rPr>
          <w:sz w:val="20"/>
          <w:szCs w:val="20"/>
          <w:color w:val="auto"/>
        </w:rPr>
      </w:pPr>
      <w:r>
        <w:rPr>
          <w:rFonts w:ascii="Arial" w:cs="Arial" w:eastAsia="Arial" w:hAnsi="Arial"/>
          <w:sz w:val="15"/>
          <w:szCs w:val="15"/>
          <w:color w:val="auto"/>
        </w:rPr>
        <w:t>Partner and services revenue is derived from: (1) revenue-sharing arrangements, (2) technology integrations, (3) partner marketing and promotion, and (4) non-recurring professional services. We recognize revenue on a net basis from revenue-sharing arrangements when the underlying transaction occurs. We recognize revenue from technology integration fees ratably over the contract term because technology integration and platform access are deemed to be a single performance obligation. Revenue from partner marketing and promotion and non-recurring professional services is recognized as the service is performed.</w:t>
      </w:r>
    </w:p>
    <w:p>
      <w:pPr>
        <w:spacing w:after="0" w:line="172" w:lineRule="exact"/>
        <w:rPr>
          <w:sz w:val="20"/>
          <w:szCs w:val="20"/>
          <w:color w:val="auto"/>
        </w:rPr>
      </w:pPr>
    </w:p>
    <w:p>
      <w:pPr>
        <w:ind w:right="220" w:firstLine="510"/>
        <w:spacing w:after="0" w:line="273" w:lineRule="auto"/>
        <w:rPr>
          <w:sz w:val="20"/>
          <w:szCs w:val="20"/>
          <w:color w:val="auto"/>
        </w:rPr>
      </w:pPr>
      <w:r>
        <w:rPr>
          <w:rFonts w:ascii="Arial" w:cs="Arial" w:eastAsia="Arial" w:hAnsi="Arial"/>
          <w:sz w:val="16"/>
          <w:szCs w:val="16"/>
          <w:color w:val="auto"/>
        </w:rPr>
        <w:t>We adopted Financial Accounting Standards Board (“FASB”), Accounting Standards Codification Topic 606, Revenue from Contracts with Customers (“Topic 606”), effective January 1, 2018, using the full retrospective method of adoption. As such, the consolidated financial statements present revenue in accordance with Topic 606 for the period presented. Topic 606 requires us to identify distinct performance obligations. A performance obligation is a promise in a contract to transfer a distinct good or service to the customer. When distinct performance obligations exist,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color w:val="auto"/>
        </w:rPr>
        <w:t>we allocate the contract transaction price to each distinct performance obligation. The standalone selling price, or our best estimate of standalone selling price, is used to allocate the transaction price to the separate performance obligations. We recognize revenue when, or as, the performance obligation is satisfied.</w:t>
      </w:r>
    </w:p>
    <w:p>
      <w:pPr>
        <w:spacing w:after="0" w:line="150" w:lineRule="exact"/>
        <w:rPr>
          <w:sz w:val="20"/>
          <w:szCs w:val="20"/>
          <w:color w:val="auto"/>
        </w:rPr>
      </w:pPr>
    </w:p>
    <w:p>
      <w:pPr>
        <w:ind w:right="320" w:firstLine="510"/>
        <w:spacing w:after="0" w:line="328" w:lineRule="auto"/>
        <w:rPr>
          <w:sz w:val="20"/>
          <w:szCs w:val="20"/>
          <w:color w:val="auto"/>
        </w:rPr>
      </w:pPr>
      <w:r>
        <w:rPr>
          <w:rFonts w:ascii="Arial" w:cs="Arial" w:eastAsia="Arial" w:hAnsi="Arial"/>
          <w:sz w:val="15"/>
          <w:szCs w:val="15"/>
          <w:color w:val="auto"/>
        </w:rPr>
        <w:t>Determining whether products and services are considered distinct performance obligations that should be accounted for separately versus together may require significant judgment. Also, significant judgment may be required to determine the allocation of transaction price to each distinct performance obligation.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costs</w:t>
      </w:r>
    </w:p>
    <w:p>
      <w:pPr>
        <w:spacing w:after="0" w:line="127" w:lineRule="exact"/>
        <w:rPr>
          <w:sz w:val="20"/>
          <w:szCs w:val="20"/>
          <w:color w:val="auto"/>
        </w:rPr>
      </w:pPr>
    </w:p>
    <w:p>
      <w:pPr>
        <w:ind w:right="360" w:firstLine="510"/>
        <w:spacing w:after="0" w:line="273" w:lineRule="auto"/>
        <w:rPr>
          <w:sz w:val="20"/>
          <w:szCs w:val="20"/>
          <w:color w:val="auto"/>
        </w:rPr>
      </w:pPr>
      <w:r>
        <w:rPr>
          <w:rFonts w:ascii="Arial" w:cs="Arial" w:eastAsia="Arial" w:hAnsi="Arial"/>
          <w:sz w:val="16"/>
          <w:szCs w:val="16"/>
          <w:color w:val="auto"/>
        </w:rPr>
        <w:t>Deferred costs include deferred sales commissions that are incremental costs of obtaining customer contracts. Sales commissions are not paid on subscription renewal. We amortize deferred sales commissions ratably over the estimated period of our relationship with customers of approximately four years. Based on historical experience, we determine the average life of our customer relationship by taking into consideration our customer contracts and the estimated technological life of our platform and related significant features.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27" w:lineRule="exact"/>
        <w:rPr>
          <w:sz w:val="20"/>
          <w:szCs w:val="20"/>
          <w:color w:val="auto"/>
        </w:rPr>
      </w:pPr>
    </w:p>
    <w:p>
      <w:pPr>
        <w:ind w:right="280" w:firstLine="510"/>
        <w:spacing w:after="0" w:line="278" w:lineRule="auto"/>
        <w:rPr>
          <w:sz w:val="20"/>
          <w:szCs w:val="20"/>
          <w:color w:val="auto"/>
        </w:rPr>
      </w:pPr>
      <w:r>
        <w:rPr>
          <w:rFonts w:ascii="Arial" w:cs="Arial" w:eastAsia="Arial" w:hAnsi="Arial"/>
          <w:sz w:val="16"/>
          <w:szCs w:val="16"/>
          <w:color w:val="auto"/>
        </w:rPr>
        <w:t>We have granted stock options to certain employees, consultants, and members of our board of directors. Stock-based compensation related to stock options is measured based on the fair value of the awards on the grant date. It is recognized in our consolidated statements of operations over the period the recipient is required to perform services in exchange for the award. This period is generally the vesting period.</w:t>
      </w:r>
    </w:p>
    <w:p>
      <w:pPr>
        <w:spacing w:after="0" w:line="184" w:lineRule="exact"/>
        <w:rPr>
          <w:sz w:val="20"/>
          <w:szCs w:val="20"/>
          <w:color w:val="auto"/>
        </w:rPr>
      </w:pPr>
    </w:p>
    <w:p>
      <w:pPr>
        <w:ind w:right="120" w:firstLine="510"/>
        <w:spacing w:after="0" w:line="305" w:lineRule="auto"/>
        <w:rPr>
          <w:sz w:val="20"/>
          <w:szCs w:val="20"/>
          <w:color w:val="auto"/>
        </w:rPr>
      </w:pPr>
      <w:r>
        <w:rPr>
          <w:rFonts w:ascii="Arial" w:cs="Arial" w:eastAsia="Arial" w:hAnsi="Arial"/>
          <w:sz w:val="15"/>
          <w:szCs w:val="15"/>
          <w:color w:val="auto"/>
        </w:rPr>
        <w:t>We estimate the fair value of stock options granted using the Black-Scholes option-pricing model. Our option-pricing model requires the input of highly subjective assumptions, including: (1) the fair value of the underlying shares, (2) the expected term of the awards, (3) the expected volatility of the price of our shares, (4) risk-free interest rates, and (5) the expected dividend yield of our shares. These estimates involve inherent uncertainties and the application of judgment.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assumptions are based on the following:</w:t>
      </w:r>
    </w:p>
    <w:p>
      <w:pPr>
        <w:spacing w:after="0" w:line="123" w:lineRule="exact"/>
        <w:rPr>
          <w:sz w:val="20"/>
          <w:szCs w:val="20"/>
          <w:color w:val="auto"/>
        </w:rPr>
      </w:pPr>
    </w:p>
    <w:p>
      <w:pPr>
        <w:ind w:left="1000" w:right="280" w:hanging="493"/>
        <w:spacing w:after="0" w:line="334" w:lineRule="auto"/>
        <w:tabs>
          <w:tab w:leader="none" w:pos="1000" w:val="left"/>
        </w:tabs>
        <w:numPr>
          <w:ilvl w:val="0"/>
          <w:numId w:val="25"/>
        </w:numPr>
        <w:rPr>
          <w:rFonts w:ascii="Arial" w:cs="Arial" w:eastAsia="Arial" w:hAnsi="Arial"/>
          <w:sz w:val="15"/>
          <w:szCs w:val="15"/>
          <w:color w:val="auto"/>
        </w:rPr>
      </w:pPr>
      <w:r>
        <w:rPr>
          <w:rFonts w:ascii="Arial" w:cs="Arial" w:eastAsia="Arial" w:hAnsi="Arial"/>
          <w:sz w:val="15"/>
          <w:szCs w:val="15"/>
          <w:b w:val="1"/>
          <w:bCs w:val="1"/>
          <w:color w:val="auto"/>
        </w:rPr>
        <w:t>Expected volatility</w:t>
      </w:r>
      <w:r>
        <w:rPr>
          <w:rFonts w:ascii="Arial" w:cs="Arial" w:eastAsia="Arial" w:hAnsi="Arial"/>
          <w:sz w:val="15"/>
          <w:szCs w:val="15"/>
          <w:color w:val="auto"/>
        </w:rPr>
        <w:t>. Since we have no significant trading history by which to determine the volatility of our stock price, we estimate volatility for option</w:t>
      </w:r>
      <w:r>
        <w:rPr>
          <w:rFonts w:ascii="Arial" w:cs="Arial" w:eastAsia="Arial" w:hAnsi="Arial"/>
          <w:sz w:val="15"/>
          <w:szCs w:val="15"/>
          <w:b w:val="1"/>
          <w:bCs w:val="1"/>
          <w:color w:val="auto"/>
        </w:rPr>
        <w:t xml:space="preserve"> </w:t>
      </w:r>
      <w:r>
        <w:rPr>
          <w:rFonts w:ascii="Arial" w:cs="Arial" w:eastAsia="Arial" w:hAnsi="Arial"/>
          <w:sz w:val="15"/>
          <w:szCs w:val="15"/>
          <w:color w:val="auto"/>
        </w:rPr>
        <w:t>grants by evaluating the average historical volatility of peer group companies for the period immediately preceding the option grant.</w:t>
      </w:r>
    </w:p>
    <w:p>
      <w:pPr>
        <w:spacing w:after="0" w:line="32" w:lineRule="exact"/>
        <w:rPr>
          <w:rFonts w:ascii="Arial" w:cs="Arial" w:eastAsia="Arial" w:hAnsi="Arial"/>
          <w:sz w:val="15"/>
          <w:szCs w:val="15"/>
          <w:color w:val="auto"/>
        </w:rPr>
      </w:pPr>
    </w:p>
    <w:p>
      <w:pPr>
        <w:ind w:left="1000" w:right="80" w:hanging="493"/>
        <w:spacing w:after="0" w:line="298"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Risk-free interest rate</w:t>
      </w:r>
      <w:r>
        <w:rPr>
          <w:rFonts w:ascii="Arial" w:cs="Arial" w:eastAsia="Arial" w:hAnsi="Arial"/>
          <w:sz w:val="16"/>
          <w:szCs w:val="16"/>
          <w:color w:val="auto"/>
        </w:rPr>
        <w:t>. The risk-free interest rate was based on the United States Treasury zero-coupon issues with remaining terms similar to the expected</w:t>
      </w:r>
      <w:r>
        <w:rPr>
          <w:rFonts w:ascii="Arial" w:cs="Arial" w:eastAsia="Arial" w:hAnsi="Arial"/>
          <w:sz w:val="16"/>
          <w:szCs w:val="16"/>
          <w:b w:val="1"/>
          <w:bCs w:val="1"/>
          <w:color w:val="auto"/>
        </w:rPr>
        <w:t xml:space="preserve"> </w:t>
      </w:r>
      <w:r>
        <w:rPr>
          <w:rFonts w:ascii="Arial" w:cs="Arial" w:eastAsia="Arial" w:hAnsi="Arial"/>
          <w:sz w:val="16"/>
          <w:szCs w:val="16"/>
          <w:color w:val="auto"/>
        </w:rPr>
        <w:t>term of the options.</w:t>
      </w:r>
    </w:p>
    <w:p>
      <w:pPr>
        <w:spacing w:after="0" w:line="56" w:lineRule="exact"/>
        <w:rPr>
          <w:rFonts w:ascii="Arial" w:cs="Arial" w:eastAsia="Arial" w:hAnsi="Arial"/>
          <w:sz w:val="16"/>
          <w:szCs w:val="16"/>
          <w:color w:val="auto"/>
        </w:rPr>
      </w:pPr>
    </w:p>
    <w:p>
      <w:pPr>
        <w:ind w:left="1000" w:right="220" w:hanging="493"/>
        <w:spacing w:after="0" w:line="298"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Dividend yield</w:t>
      </w:r>
      <w:r>
        <w:rPr>
          <w:rFonts w:ascii="Arial" w:cs="Arial" w:eastAsia="Arial" w:hAnsi="Arial"/>
          <w:sz w:val="16"/>
          <w:szCs w:val="16"/>
          <w:color w:val="auto"/>
        </w:rPr>
        <w:t>. We used an expected dividend yield of zero. We have never declared or paid any cash dividends on our common stock and do not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pay cash dividends on our common stock in the foreseeable future.</w:t>
      </w:r>
    </w:p>
    <w:p>
      <w:pPr>
        <w:spacing w:after="0" w:line="56" w:lineRule="exact"/>
        <w:rPr>
          <w:rFonts w:ascii="Arial" w:cs="Arial" w:eastAsia="Arial" w:hAnsi="Arial"/>
          <w:sz w:val="16"/>
          <w:szCs w:val="16"/>
          <w:color w:val="auto"/>
        </w:rPr>
      </w:pPr>
    </w:p>
    <w:p>
      <w:pPr>
        <w:ind w:left="1000" w:right="180" w:hanging="493"/>
        <w:spacing w:after="0" w:line="28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Average expected life</w:t>
      </w:r>
      <w:r>
        <w:rPr>
          <w:rFonts w:ascii="Arial" w:cs="Arial" w:eastAsia="Arial" w:hAnsi="Arial"/>
          <w:sz w:val="16"/>
          <w:szCs w:val="16"/>
          <w:color w:val="auto"/>
        </w:rPr>
        <w:t>. We elected to use the simplified method to compute the expected term. We have limited history of exercise activity and our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meet the criteria of “plain-vanilla” options as defined by the SEC. The simplified method calculates the expected term by taking the average of the vesting term and the original contractual term of the awards.</w:t>
      </w:r>
    </w:p>
    <w:p>
      <w:pPr>
        <w:spacing w:after="0" w:line="69" w:lineRule="exact"/>
        <w:rPr>
          <w:rFonts w:ascii="Arial" w:cs="Arial" w:eastAsia="Arial" w:hAnsi="Arial"/>
          <w:sz w:val="16"/>
          <w:szCs w:val="16"/>
          <w:color w:val="auto"/>
        </w:rPr>
      </w:pPr>
    </w:p>
    <w:p>
      <w:pPr>
        <w:ind w:left="1000" w:right="280" w:hanging="493"/>
        <w:spacing w:after="0" w:line="28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Fair value of common stock</w:t>
      </w:r>
      <w:r>
        <w:rPr>
          <w:rFonts w:ascii="Arial" w:cs="Arial" w:eastAsia="Arial" w:hAnsi="Arial"/>
          <w:sz w:val="16"/>
          <w:szCs w:val="16"/>
          <w:color w:val="auto"/>
        </w:rPr>
        <w:t>. Given the absence of an active market for our shares of common stock prior to our IPO, we estimated the fair value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Subsequent to the IPO, the BOD determines the fair value of each share based on the closing price on the date of grant on the Nasdaq.</w:t>
      </w:r>
    </w:p>
    <w:p>
      <w:pPr>
        <w:spacing w:after="0" w:line="69" w:lineRule="exact"/>
        <w:rPr>
          <w:rFonts w:ascii="Arial" w:cs="Arial" w:eastAsia="Arial" w:hAnsi="Arial"/>
          <w:sz w:val="16"/>
          <w:szCs w:val="16"/>
          <w:color w:val="auto"/>
        </w:rPr>
      </w:pPr>
    </w:p>
    <w:p>
      <w:pPr>
        <w:ind w:left="1000" w:right="320" w:hanging="493"/>
        <w:spacing w:after="0" w:line="281"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Forfeiture</w:t>
      </w:r>
      <w:r>
        <w:rPr>
          <w:rFonts w:ascii="Arial" w:cs="Arial" w:eastAsia="Arial" w:hAnsi="Arial"/>
          <w:sz w:val="16"/>
          <w:szCs w:val="16"/>
          <w:color w:val="auto"/>
        </w:rPr>
        <w:t>. We estimate the expected forfeiture rate and only recognize expense for those shares of common stock expected to vest. We estimate the</w:t>
      </w:r>
      <w:r>
        <w:rPr>
          <w:rFonts w:ascii="Arial" w:cs="Arial" w:eastAsia="Arial" w:hAnsi="Arial"/>
          <w:sz w:val="16"/>
          <w:szCs w:val="16"/>
          <w:b w:val="1"/>
          <w:bCs w:val="1"/>
          <w:color w:val="auto"/>
        </w:rPr>
        <w:t xml:space="preserve"> </w:t>
      </w:r>
      <w:r>
        <w:rPr>
          <w:rFonts w:ascii="Arial" w:cs="Arial" w:eastAsia="Arial" w:hAnsi="Arial"/>
          <w:sz w:val="16"/>
          <w:szCs w:val="16"/>
          <w:color w:val="auto"/>
        </w:rPr>
        <w:t>forfeiture rate based on historical experience. To the extent our actual forfeiture rate is different from our estimate, stock-based compensation expense is adjusted accordingly.</w:t>
      </w:r>
    </w:p>
    <w:p>
      <w:pPr>
        <w:spacing w:after="0" w:line="18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If any assumptions used in the Black-Scholes option-pricing model change significantly, stock option compensation expense for future awards may differ materially compared with the expense for awards granted previously.</w:t>
      </w:r>
    </w:p>
    <w:p>
      <w:pPr>
        <w:spacing w:after="0" w:line="172" w:lineRule="exact"/>
        <w:rPr>
          <w:sz w:val="20"/>
          <w:szCs w:val="20"/>
          <w:color w:val="auto"/>
        </w:rPr>
      </w:pPr>
    </w:p>
    <w:p>
      <w:pPr>
        <w:ind w:firstLine="510"/>
        <w:spacing w:after="0" w:line="335" w:lineRule="auto"/>
        <w:rPr>
          <w:sz w:val="20"/>
          <w:szCs w:val="20"/>
          <w:color w:val="auto"/>
        </w:rPr>
      </w:pPr>
      <w:r>
        <w:rPr>
          <w:rFonts w:ascii="Arial" w:cs="Arial" w:eastAsia="Arial" w:hAnsi="Arial"/>
          <w:sz w:val="14"/>
          <w:szCs w:val="14"/>
          <w:color w:val="auto"/>
        </w:rPr>
        <w:t>Commencing in 2020, we also have granted restricted stock units (“RSUs”). Stock-based compensation related to RSUs is measured based on the fair value of the common stock on the grant date. It is recognized in our consolidated statement of operations over the period the recipient is required to perform services in exchange for the award, which is generally the vesting period. The expense of these awards is determined by applying a forfeiture rate to the fair value of common stock on the date of grant.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discussion of recent accounting pronouncements is included in Note 2 to our included audited consolidated financial statements.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7" w:lineRule="exact"/>
        <w:rPr>
          <w:sz w:val="20"/>
          <w:szCs w:val="20"/>
          <w:color w:val="auto"/>
        </w:rPr>
      </w:pPr>
    </w:p>
    <w:p>
      <w:pPr>
        <w:ind w:firstLine="510"/>
        <w:spacing w:after="0" w:line="324" w:lineRule="auto"/>
        <w:rPr>
          <w:sz w:val="20"/>
          <w:szCs w:val="20"/>
          <w:color w:val="auto"/>
        </w:rPr>
      </w:pPr>
      <w:r>
        <w:rPr>
          <w:rFonts w:ascii="Arial" w:cs="Arial" w:eastAsia="Arial" w:hAnsi="Arial"/>
          <w:sz w:val="14"/>
          <w:szCs w:val="14"/>
          <w:color w:val="auto"/>
        </w:rPr>
        <w:t>Our cash, cash equivalents and restricted cash, consist primarily of interest-bearing accounts. Such interest-earning instruments carry a degree of interest rate risk. To minimize interest rate risk in the future, we intend to maintain our portfolio of cash equivalents in a variety of investment-grade securities, which may include commercial paper, money market funds, and government and non-government debt securities. Because of the short-term maturities of our cash, cash equivalents, restricted cash, and marketable securities, we do not believe that an increase in market rates would have any significant negative impact on the realized value of our investments.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2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5"/>
          <w:szCs w:val="15"/>
          <w:color w:val="auto"/>
        </w:rPr>
        <w:t>All of our revenue and a majority of our expense and capital purchasing activities for the year ended December 31, 2020 were transacted in U.S. dollars. As we expand our sales and operations internationally, we will be more exposed to changes in foreign exchange rates. Our international revenue is currently collected in U.S. dollars. In the future, as we expand into additional international jurisdictions, we expect that our international sales will be primarily denominated in U.S. dollars. If we decide in the future to denominate international sales in currencies other than the U.S. dollar, unfavorable movement in the exchange rates between the U.S. dollar and the currencies in which we conduct foreign sales could have an adverse impact on our revenue.</w:t>
      </w:r>
    </w:p>
    <w:p>
      <w:pPr>
        <w:spacing w:after="0" w:line="176"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A portion of our operating expenses are incurred outside the United States and are denominated in foreign currencies, which are subject to fluctuations due to changes in foreign currency exchange rates. In particular, in our Australia and UK-based operations, we pay payroll and other expenses in Australian dollars and British pounds sterling, respectively.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w:t>
      </w:r>
    </w:p>
    <w:p>
      <w:pPr>
        <w:spacing w:after="0" w:line="190" w:lineRule="exact"/>
        <w:rPr>
          <w:sz w:val="20"/>
          <w:szCs w:val="20"/>
          <w:color w:val="auto"/>
        </w:rPr>
      </w:pPr>
    </w:p>
    <w:p>
      <w:pPr>
        <w:jc w:val="both"/>
        <w:ind w:right="100" w:firstLine="510"/>
        <w:spacing w:after="0" w:line="278" w:lineRule="auto"/>
        <w:rPr>
          <w:sz w:val="20"/>
          <w:szCs w:val="20"/>
          <w:color w:val="auto"/>
        </w:rPr>
      </w:pPr>
      <w:r>
        <w:rPr>
          <w:rFonts w:ascii="Arial" w:cs="Arial" w:eastAsia="Arial" w:hAnsi="Arial"/>
          <w:sz w:val="16"/>
          <w:szCs w:val="16"/>
          <w:color w:val="auto"/>
        </w:rPr>
        <w:t>We currently do not hedge foreign currency exposure. We may in the future hedge our foreign currency exposure and may use currency forward contracts, currency options, and/or other common derivative financial instruments to reduce foreign currency risk. It is difficult to predict the effect future hedging activities would have on our operating results.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Credit risk</w:t>
      </w:r>
    </w:p>
    <w:p>
      <w:pPr>
        <w:spacing w:after="0" w:line="12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5"/>
          <w:szCs w:val="15"/>
          <w:color w:val="auto"/>
        </w:rPr>
        <w:t>Financial instruments that potentially subject us to concentrations of credit risk consist of cash and cash equivalents, restricted cash, and accounts receivable. Our investment policy limits investments to high credit quality securities issued by the U.S. government, U.S. government-sponsored agencies, and highly rated corporate securities, subject to certain concentration limits and restrictions on maturities. Our cash and cash equivalents and restricted cash are held by financial institutions that management believes are of high credit quality. Amounts on deposit may at times exceed FDIC insured limits. We have not experienced any losses on our deposits of cash and cash equivalents, and accounts are monitored by management to mitigate risk. We are exposed to credit risk in the event of default by the financial institutions holding our cash and cash equivalents or an event of default by the issuers of the corporate debt securities we hold.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Emerging growth company status</w:t>
      </w:r>
    </w:p>
    <w:p>
      <w:pPr>
        <w:spacing w:after="0" w:line="131" w:lineRule="exact"/>
        <w:rPr>
          <w:sz w:val="20"/>
          <w:szCs w:val="20"/>
          <w:color w:val="auto"/>
        </w:rPr>
      </w:pPr>
    </w:p>
    <w:p>
      <w:pPr>
        <w:ind w:right="120" w:firstLine="510"/>
        <w:spacing w:after="0" w:line="269"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those standards apply to private companies. We have not elected to use this extended transition period for complying with new or revised accounting standards. We will remain an emerging growth company until the earliest of: (1) December 31, 2025, (2) the first fiscal year after our annual gross revenue exceed $1.07 billion, (3) the date on which we have, during the immediately preceding three-year period, issued more than $1.0 billion in non-convertible debt securities, and (4) the end of any fiscal year in which the market value of our common stock held by non-affiliates exceeds $700 million as of the end of the second quarter of that fiscal year.</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information required by this item is incorporated by reference to the consolidated financial statements and accompanying notes set forth on pages F-1 through F-23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1" w:lineRule="exact"/>
        <w:rPr>
          <w:sz w:val="20"/>
          <w:szCs w:val="20"/>
          <w:color w:val="auto"/>
        </w:rPr>
      </w:pPr>
    </w:p>
    <w:p>
      <w:pPr>
        <w:ind w:right="580" w:firstLine="510"/>
        <w:spacing w:after="0" w:line="293"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100"/>
        <w:spacing w:after="0" w:line="293" w:lineRule="auto"/>
        <w:rPr>
          <w:sz w:val="20"/>
          <w:szCs w:val="20"/>
          <w:color w:val="auto"/>
        </w:rPr>
      </w:pPr>
      <w:r>
        <w:rPr>
          <w:rFonts w:ascii="Arial" w:cs="Arial" w:eastAsia="Arial" w:hAnsi="Arial"/>
          <w:sz w:val="15"/>
          <w:szCs w:val="15"/>
          <w:color w:val="auto"/>
        </w:rPr>
        <w:t>amended (the Exchange Act)) as of the end of the period covered by this Annual Report on Form 10-K. 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Based on such evaluation, our chief executive officer and chief financial officer have concluded that, as of such date, our disclosure controls and procedures were effective at a reasonable assurance level.</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31" w:lineRule="exact"/>
        <w:rPr>
          <w:sz w:val="20"/>
          <w:szCs w:val="20"/>
          <w:color w:val="auto"/>
        </w:rPr>
      </w:pPr>
    </w:p>
    <w:p>
      <w:pPr>
        <w:ind w:right="160" w:firstLine="510"/>
        <w:spacing w:after="0" w:line="328" w:lineRule="auto"/>
        <w:rPr>
          <w:sz w:val="20"/>
          <w:szCs w:val="20"/>
          <w:color w:val="auto"/>
        </w:rPr>
      </w:pPr>
      <w:r>
        <w:rPr>
          <w:rFonts w:ascii="Arial" w:cs="Arial" w:eastAsia="Arial" w:hAnsi="Arial"/>
          <w:sz w:val="15"/>
          <w:szCs w:val="15"/>
          <w:color w:val="auto"/>
        </w:rPr>
        <w:t>This Annual Report on Form 10-K does not include a report of management's assessment regarding internal control over financial reporting or an attestation report of our independent registered public accounting firm as permitted in this transition period under the rules of the SEC for newly public companies.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1"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13a-15(d) and 15d-15(d) of the Exchange Act that occurred during the year ended December 31, 2020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 on the effectiveness of internal control</w:t>
      </w:r>
    </w:p>
    <w:p>
      <w:pPr>
        <w:spacing w:after="0" w:line="131" w:lineRule="exact"/>
        <w:rPr>
          <w:sz w:val="20"/>
          <w:szCs w:val="20"/>
          <w:color w:val="auto"/>
        </w:rPr>
      </w:pPr>
    </w:p>
    <w:p>
      <w:pPr>
        <w:ind w:right="60" w:firstLine="510"/>
        <w:spacing w:after="0" w:line="287"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February 23, 2021, we determined that the date of our 2021 annual meeting of stockholders (the “Annual Meeting”) will be May 14, 2021.</w:t>
      </w:r>
    </w:p>
    <w:p>
      <w:pPr>
        <w:spacing w:after="0" w:line="127"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Because we did not hold an annual meeting the previous year, our stockholders who wish to have a proposal considered for inclusion in our proxy materials for the Annual Meeting pursuant to Rule 14a-8 under the Securities Exchange Act of 1934, as amended (the “Exchange Act”), must ensure that such proposal is received by our Secretary at our principal executive offices, BigCommerce Holdings, Inc., 11305 Four Points Drive, Building II, Third Floor, Austin, Texas 78726, on or before the close of business on March 8, 2021, which we have determined to be a reasonable time before it expects to begin to print and send its proxy materials. Any such proposal must also meet the requirements set forth in the rules and regulations of the Securities and Exchange Commission in order to be eligible for inclusion in the proxy materials for the Annual Meeting.</w:t>
      </w:r>
    </w:p>
    <w:p>
      <w:pPr>
        <w:spacing w:after="0" w:line="288"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5"/>
          <w:szCs w:val="15"/>
          <w:color w:val="auto"/>
        </w:rPr>
        <w:t>In addition, any stockholder who intends to submit a proposal regarding a director nomination or who intends to submit a proposal regarding any other matter of business at the Annual Meeting must also ensure that notice of any such nomination or proposal (including any additional information specified in the Bylaws) is received by our Secretary at our principal executive offices on or before the close of business on March 8, 2021. This deadline will also apply in determining whether notice of a stockholder proposal is timely for purposes of exercising discretionary voting authority with respect to proxies under Rule 14a-4(c)(1) of the Exchange Act.</w:t>
      </w:r>
    </w:p>
    <w:p>
      <w:pPr>
        <w:spacing w:after="0" w:line="159"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5"/>
          <w:szCs w:val="15"/>
          <w:color w:val="auto"/>
        </w:rPr>
        <w:t>On February 24, 2021, the compensation committee of our board of directors approved the 2021 Executive Bonus Plan (“2021 Bonus Plan”) for our executive officers to be effective for our fiscal year ending December 31, 2021. Participants in the Bonus Plan will be determined by the compensation committee and will be eligible to earn cash bonuses through the achievement of individual or company performance targets to be established by the compensation committee. The 2021 Bonus Plan provides for the payment of cash bonuses based upon achievement of such performance targets and payout formulas determined by the compensation committee. To the extent earned, bonuses under the 2021 Bonus Plan will be paid in a single annual payout following completion of the fiscal year ending December 31, 2021. The 2021 Bonus Plan is attached as Exhibit 10.18 to this Annual Report on Form 10-K and the terms thereof are incorporated by reference.</w:t>
      </w:r>
    </w:p>
    <w:p>
      <w:pPr>
        <w:spacing w:after="0" w:line="271"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Effective as of December 29, 2020, we fully repaid all outstanding borrowings under the A&amp;R Credit Facility dated as of February 28, 2020 with Silicon Valley Bank and terminated the A&amp;R Credit Facility. The terms and conditions of the A&amp;R Credit Facility are disclosed in Note 8 to the consolidated financial statements, which disclosures are incorporated herein by reference.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PART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10, will be included in our Proxy Statement relating to our 2021 annual meeting of stockholders to be filed with the SEC within 120 days after the end of our fiscal year ended December 31, 2020,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11, will be included in our Proxy Statement relating to our 2021 annual meeting of stockholders to be filed with the SEC within 120 days after the end of our fiscal year ended December 31, 2020,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12, will be included in our Proxy Statement relating to our 2021 annual meeting of stockholders to be filed with the SEC within 120 days after the end of our fiscal year ended December 31, 2020,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13, will be included in our Proxy Statement relating to our 2021 annual meeting of stockholders to be filed with the SEC within 120 days after the end of our fiscal year ended December 31, 2020,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14, will be included in our Proxy Statement relating to our 2021 annual meeting of stockholders to be filed with the SEC within 120 days after the end of our fiscal year ended December 31, 2020, and is incorporated by reference.</w:t>
      </w:r>
    </w:p>
    <w:p>
      <w:pPr>
        <w:spacing w:after="0" w:line="17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20"/>
          </w:cols>
          <w:pgMar w:left="320" w:top="126" w:right="7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IV</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40" w:type="dxa"/>
            <w:vAlign w:val="bottom"/>
            <w:gridSpan w:val="3"/>
          </w:tcPr>
          <w:p>
            <w:pPr>
              <w:spacing w:after="0"/>
              <w:rPr>
                <w:sz w:val="20"/>
                <w:szCs w:val="20"/>
                <w:color w:val="auto"/>
              </w:rPr>
            </w:pPr>
            <w:r>
              <w:rPr>
                <w:rFonts w:ascii="Arial" w:cs="Arial" w:eastAsia="Arial" w:hAnsi="Arial"/>
                <w:sz w:val="16"/>
                <w:szCs w:val="16"/>
                <w:b w:val="1"/>
                <w:bCs w:val="1"/>
                <w:color w:val="auto"/>
              </w:rPr>
              <w:t>Item 15. Exhibits, Financial Statement Schedules.</w:t>
            </w:r>
          </w:p>
        </w:tc>
        <w:tc>
          <w:tcPr>
            <w:tcW w:w="1440" w:type="dxa"/>
            <w:vAlign w:val="bottom"/>
          </w:tcPr>
          <w:p>
            <w:pPr>
              <w:spacing w:after="0"/>
              <w:rPr>
                <w:sz w:val="18"/>
                <w:szCs w:val="18"/>
                <w:color w:val="auto"/>
              </w:rPr>
            </w:pPr>
          </w:p>
        </w:tc>
      </w:tr>
      <w:tr>
        <w:trPr>
          <w:trHeight w:val="310"/>
        </w:trPr>
        <w:tc>
          <w:tcPr>
            <w:tcW w:w="760" w:type="dxa"/>
            <w:vAlign w:val="bottom"/>
          </w:tcPr>
          <w:p>
            <w:pPr>
              <w:ind w:left="500"/>
              <w:spacing w:after="0"/>
              <w:rPr>
                <w:sz w:val="20"/>
                <w:szCs w:val="20"/>
                <w:color w:val="auto"/>
              </w:rPr>
            </w:pPr>
            <w:r>
              <w:rPr>
                <w:rFonts w:ascii="Arial" w:cs="Arial" w:eastAsia="Arial" w:hAnsi="Arial"/>
                <w:sz w:val="16"/>
                <w:szCs w:val="16"/>
                <w:color w:val="auto"/>
              </w:rPr>
              <w:t>(a)</w:t>
            </w:r>
          </w:p>
        </w:tc>
        <w:tc>
          <w:tcPr>
            <w:tcW w:w="8180" w:type="dxa"/>
            <w:vAlign w:val="bottom"/>
            <w:gridSpan w:val="2"/>
          </w:tcPr>
          <w:p>
            <w:pPr>
              <w:ind w:left="240"/>
              <w:spacing w:after="0"/>
              <w:rPr>
                <w:sz w:val="20"/>
                <w:szCs w:val="20"/>
                <w:color w:val="auto"/>
              </w:rPr>
            </w:pPr>
            <w:r>
              <w:rPr>
                <w:rFonts w:ascii="Arial" w:cs="Arial" w:eastAsia="Arial" w:hAnsi="Arial"/>
                <w:sz w:val="16"/>
                <w:szCs w:val="16"/>
                <w:color w:val="auto"/>
              </w:rPr>
              <w:t>Documents Filed with Report</w:t>
            </w:r>
          </w:p>
        </w:tc>
        <w:tc>
          <w:tcPr>
            <w:tcW w:w="1440" w:type="dxa"/>
            <w:vAlign w:val="bottom"/>
          </w:tcPr>
          <w:p>
            <w:pPr>
              <w:spacing w:after="0"/>
              <w:rPr>
                <w:sz w:val="24"/>
                <w:szCs w:val="24"/>
                <w:color w:val="auto"/>
              </w:rPr>
            </w:pPr>
          </w:p>
        </w:tc>
      </w:tr>
      <w:tr>
        <w:trPr>
          <w:trHeight w:val="311"/>
        </w:trPr>
        <w:tc>
          <w:tcPr>
            <w:tcW w:w="76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Arial" w:cs="Arial" w:eastAsia="Arial" w:hAnsi="Arial"/>
                <w:sz w:val="16"/>
                <w:szCs w:val="16"/>
                <w:color w:val="auto"/>
              </w:rPr>
              <w:t>(1)</w:t>
            </w:r>
          </w:p>
        </w:tc>
        <w:tc>
          <w:tcPr>
            <w:tcW w:w="7580" w:type="dxa"/>
            <w:vAlign w:val="bottom"/>
          </w:tcPr>
          <w:p>
            <w:pPr>
              <w:ind w:left="160"/>
              <w:spacing w:after="0"/>
              <w:rPr>
                <w:sz w:val="20"/>
                <w:szCs w:val="20"/>
                <w:color w:val="auto"/>
              </w:rPr>
            </w:pPr>
            <w:r>
              <w:rPr>
                <w:rFonts w:ascii="Arial" w:cs="Arial" w:eastAsia="Arial" w:hAnsi="Arial"/>
                <w:sz w:val="16"/>
                <w:szCs w:val="16"/>
                <w:color w:val="auto"/>
              </w:rPr>
              <w:t>Financial Statements;</w:t>
            </w:r>
          </w:p>
        </w:tc>
        <w:tc>
          <w:tcPr>
            <w:tcW w:w="1440" w:type="dxa"/>
            <w:vAlign w:val="bottom"/>
          </w:tcPr>
          <w:p>
            <w:pPr>
              <w:spacing w:after="0"/>
              <w:rPr>
                <w:sz w:val="24"/>
                <w:szCs w:val="24"/>
                <w:color w:val="auto"/>
              </w:rPr>
            </w:pPr>
          </w:p>
        </w:tc>
      </w:tr>
      <w:tr>
        <w:trPr>
          <w:trHeight w:val="526"/>
        </w:trPr>
        <w:tc>
          <w:tcPr>
            <w:tcW w:w="760" w:type="dxa"/>
            <w:vAlign w:val="bottom"/>
          </w:tcPr>
          <w:p>
            <w:pPr>
              <w:spacing w:after="0"/>
              <w:rPr>
                <w:sz w:val="24"/>
                <w:szCs w:val="24"/>
                <w:color w:val="auto"/>
              </w:rPr>
            </w:pPr>
          </w:p>
        </w:tc>
        <w:tc>
          <w:tcPr>
            <w:tcW w:w="8180" w:type="dxa"/>
            <w:vAlign w:val="bottom"/>
            <w:gridSpan w:val="2"/>
          </w:tcPr>
          <w:p>
            <w:pPr>
              <w:ind w:left="10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Report of Independent Registered Public Accounting Firm</w:t>
              </w:r>
            </w:hyperlink>
          </w:p>
        </w:tc>
        <w:tc>
          <w:tcPr>
            <w:tcW w:w="1440" w:type="dxa"/>
            <w:vAlign w:val="bottom"/>
          </w:tcPr>
          <w:p>
            <w:pPr>
              <w:ind w:left="1220"/>
              <w:spacing w:after="0"/>
              <w:rPr>
                <w:sz w:val="20"/>
                <w:szCs w:val="20"/>
                <w:color w:val="auto"/>
              </w:rPr>
            </w:pPr>
            <w:r>
              <w:rPr>
                <w:rFonts w:ascii="Arial" w:cs="Arial" w:eastAsia="Arial" w:hAnsi="Arial"/>
                <w:sz w:val="16"/>
                <w:szCs w:val="16"/>
                <w:color w:val="auto"/>
                <w:w w:val="83"/>
              </w:rPr>
              <w:t>F-2</w:t>
            </w:r>
          </w:p>
        </w:tc>
      </w:tr>
      <w:tr>
        <w:trPr>
          <w:trHeight w:val="432"/>
        </w:trPr>
        <w:tc>
          <w:tcPr>
            <w:tcW w:w="760" w:type="dxa"/>
            <w:vAlign w:val="bottom"/>
          </w:tcPr>
          <w:p>
            <w:pPr>
              <w:spacing w:after="0"/>
              <w:rPr>
                <w:sz w:val="24"/>
                <w:szCs w:val="24"/>
                <w:color w:val="auto"/>
              </w:rPr>
            </w:pPr>
          </w:p>
        </w:tc>
        <w:tc>
          <w:tcPr>
            <w:tcW w:w="8180" w:type="dxa"/>
            <w:vAlign w:val="bottom"/>
            <w:gridSpan w:val="2"/>
          </w:tcPr>
          <w:p>
            <w:pPr>
              <w:ind w:left="10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Consolidated Balance Sheets as of December 31, 2020 and 2019</w:t>
              </w:r>
            </w:hyperlink>
          </w:p>
        </w:tc>
        <w:tc>
          <w:tcPr>
            <w:tcW w:w="1440" w:type="dxa"/>
            <w:vAlign w:val="bottom"/>
          </w:tcPr>
          <w:p>
            <w:pPr>
              <w:ind w:left="1220"/>
              <w:spacing w:after="0"/>
              <w:rPr>
                <w:sz w:val="20"/>
                <w:szCs w:val="20"/>
                <w:color w:val="auto"/>
              </w:rPr>
            </w:pPr>
            <w:r>
              <w:rPr>
                <w:rFonts w:ascii="Arial" w:cs="Arial" w:eastAsia="Arial" w:hAnsi="Arial"/>
                <w:sz w:val="16"/>
                <w:szCs w:val="16"/>
                <w:color w:val="auto"/>
                <w:w w:val="83"/>
              </w:rPr>
              <w:t>F-3</w:t>
            </w:r>
          </w:p>
        </w:tc>
      </w:tr>
      <w:tr>
        <w:trPr>
          <w:trHeight w:val="432"/>
        </w:trPr>
        <w:tc>
          <w:tcPr>
            <w:tcW w:w="760" w:type="dxa"/>
            <w:vAlign w:val="bottom"/>
          </w:tcPr>
          <w:p>
            <w:pPr>
              <w:spacing w:after="0"/>
              <w:rPr>
                <w:sz w:val="24"/>
                <w:szCs w:val="24"/>
                <w:color w:val="auto"/>
              </w:rPr>
            </w:pPr>
          </w:p>
        </w:tc>
        <w:tc>
          <w:tcPr>
            <w:tcW w:w="8180" w:type="dxa"/>
            <w:vAlign w:val="bottom"/>
            <w:gridSpan w:val="2"/>
          </w:tcPr>
          <w:p>
            <w:pPr>
              <w:ind w:left="100"/>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Consolidated Statements of Operations for the Years ended December 31, 2020, 2019, and 2018</w:t>
              </w:r>
            </w:hyperlink>
          </w:p>
        </w:tc>
        <w:tc>
          <w:tcPr>
            <w:tcW w:w="1440" w:type="dxa"/>
            <w:vAlign w:val="bottom"/>
          </w:tcPr>
          <w:p>
            <w:pPr>
              <w:ind w:left="1220"/>
              <w:spacing w:after="0"/>
              <w:rPr>
                <w:sz w:val="20"/>
                <w:szCs w:val="20"/>
                <w:color w:val="auto"/>
              </w:rPr>
            </w:pPr>
            <w:r>
              <w:rPr>
                <w:rFonts w:ascii="Arial" w:cs="Arial" w:eastAsia="Arial" w:hAnsi="Arial"/>
                <w:sz w:val="16"/>
                <w:szCs w:val="16"/>
                <w:color w:val="auto"/>
                <w:w w:val="83"/>
              </w:rPr>
              <w:t>F-4</w:t>
            </w:r>
          </w:p>
        </w:tc>
      </w:tr>
      <w:tr>
        <w:trPr>
          <w:trHeight w:val="432"/>
        </w:trPr>
        <w:tc>
          <w:tcPr>
            <w:tcW w:w="760" w:type="dxa"/>
            <w:vAlign w:val="bottom"/>
          </w:tcPr>
          <w:p>
            <w:pPr>
              <w:spacing w:after="0"/>
              <w:rPr>
                <w:sz w:val="24"/>
                <w:szCs w:val="24"/>
                <w:color w:val="auto"/>
              </w:rPr>
            </w:pPr>
          </w:p>
        </w:tc>
        <w:tc>
          <w:tcPr>
            <w:tcW w:w="8180" w:type="dxa"/>
            <w:vAlign w:val="bottom"/>
            <w:gridSpan w:val="2"/>
          </w:tcPr>
          <w:p>
            <w:pPr>
              <w:ind w:left="100"/>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Consolidated Statements of Comprehensive Loss for the Years ended December 31, 2020, 2019 and, 2018</w:t>
              </w:r>
            </w:hyperlink>
          </w:p>
        </w:tc>
        <w:tc>
          <w:tcPr>
            <w:tcW w:w="1440" w:type="dxa"/>
            <w:vAlign w:val="bottom"/>
          </w:tcPr>
          <w:p>
            <w:pPr>
              <w:ind w:left="1220"/>
              <w:spacing w:after="0"/>
              <w:rPr>
                <w:sz w:val="20"/>
                <w:szCs w:val="20"/>
                <w:color w:val="auto"/>
              </w:rPr>
            </w:pPr>
            <w:r>
              <w:rPr>
                <w:rFonts w:ascii="Arial" w:cs="Arial" w:eastAsia="Arial" w:hAnsi="Arial"/>
                <w:sz w:val="16"/>
                <w:szCs w:val="16"/>
                <w:color w:val="auto"/>
                <w:w w:val="83"/>
              </w:rPr>
              <w:t>F-6</w:t>
            </w:r>
          </w:p>
        </w:tc>
      </w:tr>
    </w:tbl>
    <w:p>
      <w:pPr>
        <w:spacing w:after="0" w:line="158" w:lineRule="exact"/>
        <w:rPr>
          <w:sz w:val="20"/>
          <w:szCs w:val="20"/>
          <w:color w:val="auto"/>
        </w:rPr>
      </w:pPr>
    </w:p>
    <w:p>
      <w:pPr>
        <w:ind w:left="860" w:right="820"/>
        <w:spacing w:after="0" w:line="207" w:lineRule="auto"/>
        <w:rPr>
          <w:rFonts w:ascii="Arial" w:cs="Arial" w:eastAsia="Arial" w:hAnsi="Arial"/>
          <w:sz w:val="16"/>
          <w:szCs w:val="16"/>
          <w:u w:val="single" w:color="auto"/>
          <w:color w:val="0000EE"/>
        </w:rPr>
      </w:pPr>
      <w:hyperlink w:anchor="page59">
        <w:r>
          <w:rPr>
            <w:rFonts w:ascii="Arial" w:cs="Arial" w:eastAsia="Arial" w:hAnsi="Arial"/>
            <w:sz w:val="16"/>
            <w:szCs w:val="16"/>
            <w:u w:val="single" w:color="auto"/>
            <w:color w:val="0000EE"/>
          </w:rPr>
          <w:t>Consolidated Statements of Convertible Preferred Stock and Stockholders' Equity (deficit) for the Years ended December 31, 2020, 2019 and,</w:t>
        </w:r>
        <w:r>
          <w:rPr>
            <w:rFonts w:ascii="Arial" w:cs="Arial" w:eastAsia="Arial" w:hAnsi="Arial"/>
            <w:sz w:val="16"/>
            <w:szCs w:val="16"/>
            <w:color w:val="0000EE"/>
          </w:rPr>
          <w:t xml:space="preserve"> </w:t>
        </w:r>
      </w:hyperlink>
      <w:r>
        <w:rPr>
          <w:rFonts w:ascii="Arial" w:cs="Arial" w:eastAsia="Arial" w:hAnsi="Arial"/>
          <w:sz w:val="32"/>
          <w:szCs w:val="32"/>
          <w:color w:val="000000"/>
          <w:vertAlign w:val="subscript"/>
        </w:rPr>
        <w:t>F-6</w:t>
      </w:r>
      <w:r>
        <w:rPr>
          <w:rFonts w:ascii="Arial" w:cs="Arial" w:eastAsia="Arial" w:hAnsi="Arial"/>
          <w:sz w:val="16"/>
          <w:szCs w:val="16"/>
          <w:color w:val="0000EE"/>
        </w:rPr>
        <w:t xml:space="preserve"> </w:t>
      </w:r>
      <w:hyperlink w:anchor="page59">
        <w:r>
          <w:rPr>
            <w:rFonts w:ascii="Arial" w:cs="Arial" w:eastAsia="Arial" w:hAnsi="Arial"/>
            <w:sz w:val="16"/>
            <w:szCs w:val="16"/>
            <w:u w:val="single" w:color="auto"/>
            <w:color w:val="0000EE"/>
          </w:rPr>
          <w:t>2018</w:t>
        </w:r>
      </w:hyperlink>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7780" w:type="dxa"/>
            <w:vAlign w:val="bottom"/>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Consolidated Statements of Cash Flows for the Years ended December 31, 2020, 2019, and 2018</w:t>
              </w:r>
            </w:hyperlink>
          </w:p>
        </w:tc>
        <w:tc>
          <w:tcPr>
            <w:tcW w:w="1740" w:type="dxa"/>
            <w:vAlign w:val="bottom"/>
          </w:tcPr>
          <w:p>
            <w:pPr>
              <w:ind w:left="1520"/>
              <w:spacing w:after="0"/>
              <w:rPr>
                <w:sz w:val="20"/>
                <w:szCs w:val="20"/>
                <w:color w:val="auto"/>
              </w:rPr>
            </w:pPr>
            <w:r>
              <w:rPr>
                <w:rFonts w:ascii="Arial" w:cs="Arial" w:eastAsia="Arial" w:hAnsi="Arial"/>
                <w:sz w:val="16"/>
                <w:szCs w:val="16"/>
                <w:color w:val="auto"/>
                <w:w w:val="83"/>
              </w:rPr>
              <w:t>F-7</w:t>
            </w:r>
          </w:p>
        </w:tc>
      </w:tr>
      <w:tr>
        <w:trPr>
          <w:trHeight w:val="432"/>
        </w:trPr>
        <w:tc>
          <w:tcPr>
            <w:tcW w:w="778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Notes to Consolidated Financial Statements</w:t>
              </w:r>
            </w:hyperlink>
          </w:p>
        </w:tc>
        <w:tc>
          <w:tcPr>
            <w:tcW w:w="1740" w:type="dxa"/>
            <w:vAlign w:val="bottom"/>
          </w:tcPr>
          <w:p>
            <w:pPr>
              <w:ind w:left="1520"/>
              <w:spacing w:after="0"/>
              <w:rPr>
                <w:sz w:val="20"/>
                <w:szCs w:val="20"/>
                <w:color w:val="auto"/>
              </w:rPr>
            </w:pPr>
            <w:r>
              <w:rPr>
                <w:rFonts w:ascii="Arial" w:cs="Arial" w:eastAsia="Arial" w:hAnsi="Arial"/>
                <w:sz w:val="16"/>
                <w:szCs w:val="16"/>
                <w:color w:val="auto"/>
                <w:w w:val="83"/>
              </w:rPr>
              <w:t>F-8</w:t>
            </w:r>
          </w:p>
        </w:tc>
      </w:tr>
    </w:tbl>
    <w:p>
      <w:pPr>
        <w:spacing w:after="0" w:line="200" w:lineRule="exact"/>
        <w:rPr>
          <w:sz w:val="20"/>
          <w:szCs w:val="20"/>
          <w:color w:val="auto"/>
        </w:rPr>
      </w:pPr>
    </w:p>
    <w:p>
      <w:pPr>
        <w:spacing w:after="0" w:line="215" w:lineRule="exact"/>
        <w:rPr>
          <w:sz w:val="20"/>
          <w:szCs w:val="20"/>
          <w:color w:val="auto"/>
        </w:rPr>
      </w:pPr>
    </w:p>
    <w:p>
      <w:pPr>
        <w:ind w:left="1520" w:hanging="500"/>
        <w:spacing w:after="0"/>
        <w:tabs>
          <w:tab w:leader="none" w:pos="1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27" w:lineRule="exact"/>
        <w:rPr>
          <w:sz w:val="20"/>
          <w:szCs w:val="20"/>
          <w:color w:val="auto"/>
        </w:rPr>
      </w:pPr>
    </w:p>
    <w:p>
      <w:pPr>
        <w:ind w:left="1140"/>
        <w:spacing w:after="0" w:line="293" w:lineRule="auto"/>
        <w:rPr>
          <w:sz w:val="20"/>
          <w:szCs w:val="20"/>
          <w:color w:val="auto"/>
        </w:rPr>
      </w:pPr>
      <w:r>
        <w:rPr>
          <w:rFonts w:ascii="Arial" w:cs="Arial" w:eastAsia="Arial" w:hAnsi="Arial"/>
          <w:sz w:val="16"/>
          <w:szCs w:val="16"/>
          <w:color w:val="auto"/>
        </w:rPr>
        <w:t>Schedules required by this item have been omitted since they are either not required or not applicable or because the information required is included in the consolidated financial statements included elsewhere herein or the notes thereto.</w:t>
      </w:r>
    </w:p>
    <w:p>
      <w:pPr>
        <w:spacing w:after="0" w:line="64" w:lineRule="exact"/>
        <w:rPr>
          <w:sz w:val="20"/>
          <w:szCs w:val="20"/>
          <w:color w:val="auto"/>
        </w:rPr>
      </w:pPr>
    </w:p>
    <w:p>
      <w:pPr>
        <w:ind w:left="1520" w:hanging="500"/>
        <w:spacing w:after="0"/>
        <w:tabs>
          <w:tab w:leader="none" w:pos="1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Exhibits.</w:t>
      </w:r>
    </w:p>
    <w:p>
      <w:pPr>
        <w:spacing w:after="0" w:line="12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information required by this Item is set forth on the exhibit index that precedes the signature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14"/>
          </w:tcPr>
          <w:p>
            <w:pPr>
              <w:ind w:left="1880"/>
              <w:spacing w:after="0"/>
              <w:rPr>
                <w:sz w:val="20"/>
                <w:szCs w:val="20"/>
                <w:color w:val="auto"/>
              </w:rPr>
            </w:pPr>
            <w:r>
              <w:rPr>
                <w:rFonts w:ascii="Arial" w:cs="Arial" w:eastAsia="Arial" w:hAnsi="Arial"/>
                <w:sz w:val="16"/>
                <w:szCs w:val="16"/>
                <w:b w:val="1"/>
                <w:bCs w:val="1"/>
                <w:color w:val="auto"/>
              </w:rPr>
              <w:t>Exhibit Index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11"/>
        </w:trPr>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ind w:left="520"/>
              <w:spacing w:after="0"/>
              <w:rPr>
                <w:sz w:val="20"/>
                <w:szCs w:val="20"/>
                <w:color w:val="auto"/>
              </w:rPr>
            </w:pPr>
            <w:r>
              <w:rPr>
                <w:rFonts w:ascii="Arial" w:cs="Arial" w:eastAsia="Arial" w:hAnsi="Arial"/>
                <w:sz w:val="16"/>
                <w:szCs w:val="16"/>
                <w:b w:val="1"/>
                <w:bCs w:val="1"/>
                <w:color w:val="auto"/>
                <w:w w:val="94"/>
              </w:rPr>
              <w:t>Incorporated by Reference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3"/>
        </w:trPr>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20" w:type="dxa"/>
            <w:vAlign w:val="bottom"/>
            <w:gridSpan w:val="14"/>
          </w:tcPr>
          <w:p>
            <w:pPr>
              <w:ind w:left="180"/>
              <w:spacing w:after="0"/>
              <w:rPr>
                <w:sz w:val="20"/>
                <w:szCs w:val="20"/>
                <w:color w:val="auto"/>
              </w:rPr>
            </w:pPr>
            <w:r>
              <w:rPr>
                <w:rFonts w:ascii="Arial" w:cs="Arial" w:eastAsia="Arial" w:hAnsi="Arial"/>
                <w:sz w:val="16"/>
                <w:szCs w:val="16"/>
                <w:b w:val="1"/>
                <w:bCs w:val="1"/>
                <w:color w:val="auto"/>
              </w:rPr>
              <w:t>Description</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Form</w:t>
            </w: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File No.</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158"/>
        </w:trPr>
        <w:tc>
          <w:tcPr>
            <w:tcW w:w="920" w:type="dxa"/>
            <w:vAlign w:val="bottom"/>
            <w:tcBorders>
              <w:top w:val="single" w:sz="8" w:color="auto"/>
            </w:tcBorders>
          </w:tcPr>
          <w:p>
            <w:pPr>
              <w:ind w:left="80"/>
              <w:spacing w:after="0" w:line="158"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3"/>
                <w:szCs w:val="13"/>
                <w:color w:val="auto"/>
              </w:rPr>
            </w:pPr>
          </w:p>
        </w:tc>
        <w:tc>
          <w:tcPr>
            <w:tcW w:w="5220" w:type="dxa"/>
            <w:vAlign w:val="bottom"/>
            <w:tcBorders>
              <w:top w:val="single" w:sz="8" w:color="auto"/>
              <w:bottom w:val="single" w:sz="8" w:color="0000EE"/>
            </w:tcBorders>
            <w:gridSpan w:val="15"/>
          </w:tcPr>
          <w:p>
            <w:pPr>
              <w:spacing w:after="0" w:line="158" w:lineRule="exact"/>
              <w:rPr>
                <w:rFonts w:ascii="Arial" w:cs="Arial" w:eastAsia="Arial" w:hAnsi="Arial"/>
                <w:sz w:val="16"/>
                <w:szCs w:val="16"/>
                <w:color w:val="0000EE"/>
                <w:w w:val="91"/>
              </w:rPr>
            </w:pPr>
            <w:hyperlink r:id="rId72">
              <w:r>
                <w:rPr>
                  <w:rFonts w:ascii="Arial" w:cs="Arial" w:eastAsia="Arial" w:hAnsi="Arial"/>
                  <w:sz w:val="16"/>
                  <w:szCs w:val="16"/>
                  <w:color w:val="0000EE"/>
                  <w:w w:val="91"/>
                </w:rPr>
                <w:t>Seventh Amended and Restated Certificate of Incorporation of the Registrant, as</w:t>
              </w:r>
            </w:hyperlink>
          </w:p>
        </w:tc>
        <w:tc>
          <w:tcPr>
            <w:tcW w:w="440" w:type="dxa"/>
            <w:vAlign w:val="bottom"/>
            <w:tcBorders>
              <w:top w:val="single" w:sz="8" w:color="auto"/>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13"/>
                <w:szCs w:val="13"/>
                <w:color w:val="auto"/>
              </w:rPr>
            </w:pPr>
          </w:p>
        </w:tc>
        <w:tc>
          <w:tcPr>
            <w:tcW w:w="1220" w:type="dxa"/>
            <w:vAlign w:val="bottom"/>
            <w:tcBorders>
              <w:top w:val="single" w:sz="8" w:color="auto"/>
            </w:tcBorders>
            <w:gridSpan w:val="4"/>
          </w:tcPr>
          <w:p>
            <w:pPr>
              <w:jc w:val="center"/>
              <w:ind w:right="20"/>
              <w:spacing w:after="0" w:line="158" w:lineRule="exact"/>
              <w:rPr>
                <w:sz w:val="20"/>
                <w:szCs w:val="20"/>
                <w:color w:val="auto"/>
              </w:rPr>
            </w:pPr>
            <w:r>
              <w:rPr>
                <w:rFonts w:ascii="Arial" w:cs="Arial" w:eastAsia="Arial" w:hAnsi="Arial"/>
                <w:sz w:val="16"/>
                <w:szCs w:val="16"/>
                <w:color w:val="auto"/>
                <w:w w:val="92"/>
              </w:rPr>
              <w:t>August 7,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0000EE"/>
            </w:tcBorders>
            <w:gridSpan w:val="2"/>
          </w:tcPr>
          <w:p>
            <w:pPr>
              <w:spacing w:after="0" w:line="183" w:lineRule="exact"/>
              <w:rPr>
                <w:rFonts w:ascii="Arial" w:cs="Arial" w:eastAsia="Arial" w:hAnsi="Arial"/>
                <w:sz w:val="16"/>
                <w:szCs w:val="16"/>
                <w:color w:val="0000EE"/>
                <w:w w:val="93"/>
              </w:rPr>
            </w:pPr>
            <w:hyperlink r:id="rId72">
              <w:r>
                <w:rPr>
                  <w:rFonts w:ascii="Arial" w:cs="Arial" w:eastAsia="Arial" w:hAnsi="Arial"/>
                  <w:sz w:val="16"/>
                  <w:szCs w:val="16"/>
                  <w:color w:val="0000EE"/>
                  <w:w w:val="93"/>
                </w:rPr>
                <w:t>currently in effect</w:t>
              </w:r>
            </w:hyperlink>
          </w:p>
        </w:tc>
        <w:tc>
          <w:tcPr>
            <w:tcW w:w="4580" w:type="dxa"/>
            <w:vAlign w:val="bottom"/>
            <w:gridSpan w:val="2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39"/>
        </w:trPr>
        <w:tc>
          <w:tcPr>
            <w:tcW w:w="920" w:type="dxa"/>
            <w:vAlign w:val="bottom"/>
          </w:tcPr>
          <w:p>
            <w:pPr>
              <w:ind w:left="8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73">
              <w:r>
                <w:rPr>
                  <w:rFonts w:ascii="Arial" w:cs="Arial" w:eastAsia="Arial" w:hAnsi="Arial"/>
                  <w:sz w:val="16"/>
                  <w:szCs w:val="16"/>
                  <w:u w:val="single" w:color="auto"/>
                  <w:color w:val="0000EE"/>
                </w:rPr>
                <w:t>Amended and Restated Bylaws of the Registrant, as currently in effect</w:t>
              </w:r>
            </w:hyperlink>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August 7,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w w:val="94"/>
              </w:rPr>
            </w:pPr>
            <w:hyperlink r:id="rId74">
              <w:r>
                <w:rPr>
                  <w:rFonts w:ascii="Arial" w:cs="Arial" w:eastAsia="Arial" w:hAnsi="Arial"/>
                  <w:sz w:val="16"/>
                  <w:szCs w:val="16"/>
                  <w:u w:val="single" w:color="auto"/>
                  <w:color w:val="0000EE"/>
                  <w:w w:val="94"/>
                </w:rPr>
                <w:t>Fourth Amended and Restated Investor Rights Agreement, dated as of April 19, 2018</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75">
              <w:r>
                <w:rPr>
                  <w:rFonts w:ascii="Arial" w:cs="Arial" w:eastAsia="Arial" w:hAnsi="Arial"/>
                  <w:sz w:val="16"/>
                  <w:szCs w:val="16"/>
                  <w:u w:val="single" w:color="auto"/>
                  <w:color w:val="0000EE"/>
                </w:rPr>
                <w:t>Form of Indemnification Agreement for Officers and Directors</w:t>
              </w:r>
            </w:hyperlink>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28,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76">
              <w:r>
                <w:rPr>
                  <w:rFonts w:ascii="Arial" w:cs="Arial" w:eastAsia="Arial" w:hAnsi="Arial"/>
                  <w:sz w:val="16"/>
                  <w:szCs w:val="16"/>
                  <w:u w:val="single" w:color="auto"/>
                  <w:color w:val="0000EE"/>
                </w:rPr>
                <w:t>BigCommerce Holdings, Inc. Amended and Restated 2013 Stock Plan</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77">
              <w:r>
                <w:rPr>
                  <w:rFonts w:ascii="Arial" w:cs="Arial" w:eastAsia="Arial" w:hAnsi="Arial"/>
                  <w:sz w:val="16"/>
                  <w:szCs w:val="16"/>
                  <w:u w:val="single" w:color="auto"/>
                  <w:color w:val="0000EE"/>
                </w:rPr>
                <w:t>BigCommerce Holdings, Inc. 2020 Equity Incentive Plan</w:t>
              </w:r>
            </w:hyperlink>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28,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78">
              <w:r>
                <w:rPr>
                  <w:rFonts w:ascii="Arial" w:cs="Arial" w:eastAsia="Arial" w:hAnsi="Arial"/>
                  <w:sz w:val="16"/>
                  <w:szCs w:val="16"/>
                  <w:u w:val="single" w:color="auto"/>
                  <w:color w:val="0000EE"/>
                </w:rPr>
                <w:t>BigCommerce Holdings, Inc. 2020 Employee Stock Purchase Plan</w:t>
              </w:r>
            </w:hyperlink>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28, 2020</w:t>
            </w:r>
          </w:p>
        </w:tc>
      </w:tr>
      <w:tr>
        <w:trPr>
          <w:trHeight w:val="289"/>
        </w:trPr>
        <w:tc>
          <w:tcPr>
            <w:tcW w:w="920" w:type="dxa"/>
            <w:vAlign w:val="bottom"/>
          </w:tcPr>
          <w:p>
            <w:pP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5240" w:type="dxa"/>
            <w:vAlign w:val="bottom"/>
            <w:tcBorders>
              <w:bottom w:val="single" w:sz="8" w:color="0000EE"/>
            </w:tcBorders>
            <w:gridSpan w:val="16"/>
          </w:tcPr>
          <w:p>
            <w:pPr>
              <w:spacing w:after="0"/>
              <w:rPr>
                <w:rFonts w:ascii="Arial" w:cs="Arial" w:eastAsia="Arial" w:hAnsi="Arial"/>
                <w:sz w:val="16"/>
                <w:szCs w:val="16"/>
                <w:color w:val="0000EE"/>
                <w:w w:val="91"/>
              </w:rPr>
            </w:pPr>
            <w:hyperlink r:id="rId79">
              <w:r>
                <w:rPr>
                  <w:rFonts w:ascii="Arial" w:cs="Arial" w:eastAsia="Arial" w:hAnsi="Arial"/>
                  <w:sz w:val="16"/>
                  <w:szCs w:val="16"/>
                  <w:color w:val="0000EE"/>
                  <w:w w:val="91"/>
                </w:rPr>
                <w:t>Contingent Convertible Debt Agreement, dated October 27, 2017, by and among</w:t>
              </w:r>
            </w:hyperlink>
          </w:p>
        </w:tc>
        <w:tc>
          <w:tcPr>
            <w:tcW w:w="500" w:type="dxa"/>
            <w:vAlign w:val="bottom"/>
            <w:gridSpan w:val="10"/>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tcBorders>
              <w:bottom w:val="single" w:sz="8" w:color="0000EE"/>
            </w:tcBorders>
            <w:gridSpan w:val="24"/>
          </w:tcPr>
          <w:p>
            <w:pPr>
              <w:spacing w:after="0" w:line="183" w:lineRule="exact"/>
              <w:rPr>
                <w:rFonts w:ascii="Arial" w:cs="Arial" w:eastAsia="Arial" w:hAnsi="Arial"/>
                <w:sz w:val="16"/>
                <w:szCs w:val="16"/>
                <w:color w:val="0000EE"/>
                <w:w w:val="93"/>
              </w:rPr>
            </w:pPr>
            <w:hyperlink r:id="rId79">
              <w:r>
                <w:rPr>
                  <w:rFonts w:ascii="Arial" w:cs="Arial" w:eastAsia="Arial" w:hAnsi="Arial"/>
                  <w:sz w:val="16"/>
                  <w:szCs w:val="16"/>
                  <w:color w:val="0000EE"/>
                  <w:w w:val="93"/>
                </w:rPr>
                <w:t>Silicon Valley Bank, the Registrant, BigCommerce, Inc., and BigCommerce PTY LTD</w:t>
              </w:r>
            </w:hyperlink>
          </w:p>
        </w:tc>
        <w:tc>
          <w:tcPr>
            <w:tcW w:w="1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gridSpan w:val="26"/>
          </w:tcPr>
          <w:p>
            <w:pPr>
              <w:spacing w:after="0" w:line="183" w:lineRule="exact"/>
              <w:rPr>
                <w:rFonts w:ascii="Arial" w:cs="Arial" w:eastAsia="Arial" w:hAnsi="Arial"/>
                <w:sz w:val="16"/>
                <w:szCs w:val="16"/>
                <w:color w:val="0000EE"/>
              </w:rPr>
            </w:pPr>
            <w:hyperlink r:id="rId79">
              <w:r>
                <w:rPr>
                  <w:rFonts w:ascii="Arial" w:cs="Arial" w:eastAsia="Arial" w:hAnsi="Arial"/>
                  <w:sz w:val="16"/>
                  <w:szCs w:val="16"/>
                  <w:color w:val="0000EE"/>
                </w:rPr>
                <w:t>ACN 107 422 631.</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color w:val="0000EE"/>
              </w:rPr>
            </w:pPr>
            <w:hyperlink r:id="rId80">
              <w:r>
                <w:rPr>
                  <w:rFonts w:ascii="Arial" w:cs="Arial" w:eastAsia="Arial" w:hAnsi="Arial"/>
                  <w:sz w:val="16"/>
                  <w:szCs w:val="16"/>
                  <w:color w:val="0000EE"/>
                </w:rPr>
                <w:t>2020 Contingent Convertible Debt Agreement, dated February 28, 2020, by and</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20" w:type="dxa"/>
            <w:vAlign w:val="bottom"/>
            <w:tcBorders>
              <w:bottom w:val="single" w:sz="8" w:color="0000EE"/>
            </w:tcBorders>
            <w:gridSpan w:val="19"/>
          </w:tcPr>
          <w:p>
            <w:pPr>
              <w:spacing w:after="0" w:line="183" w:lineRule="exact"/>
              <w:rPr>
                <w:rFonts w:ascii="Arial" w:cs="Arial" w:eastAsia="Arial" w:hAnsi="Arial"/>
                <w:sz w:val="16"/>
                <w:szCs w:val="16"/>
                <w:color w:val="0000EE"/>
                <w:w w:val="92"/>
              </w:rPr>
            </w:pPr>
            <w:hyperlink r:id="rId80">
              <w:r>
                <w:rPr>
                  <w:rFonts w:ascii="Arial" w:cs="Arial" w:eastAsia="Arial" w:hAnsi="Arial"/>
                  <w:sz w:val="16"/>
                  <w:szCs w:val="16"/>
                  <w:color w:val="0000EE"/>
                  <w:w w:val="92"/>
                </w:rPr>
                <w:t>among Silicon Valley Bank, the Registrant, BigCommerce, Inc., and BigCommerce</w:t>
              </w:r>
            </w:hyperlink>
          </w:p>
        </w:tc>
        <w:tc>
          <w:tcPr>
            <w:tcW w:w="320" w:type="dxa"/>
            <w:vAlign w:val="bottom"/>
            <w:gridSpan w:val="7"/>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Borders>
              <w:bottom w:val="single" w:sz="8" w:color="0000EE"/>
            </w:tcBorders>
            <w:gridSpan w:val="11"/>
          </w:tcPr>
          <w:p>
            <w:pPr>
              <w:spacing w:after="0" w:line="183" w:lineRule="exact"/>
              <w:rPr>
                <w:rFonts w:ascii="Arial" w:cs="Arial" w:eastAsia="Arial" w:hAnsi="Arial"/>
                <w:sz w:val="16"/>
                <w:szCs w:val="16"/>
                <w:color w:val="0000EE"/>
                <w:w w:val="94"/>
              </w:rPr>
            </w:pPr>
            <w:hyperlink r:id="rId80">
              <w:r>
                <w:rPr>
                  <w:rFonts w:ascii="Arial" w:cs="Arial" w:eastAsia="Arial" w:hAnsi="Arial"/>
                  <w:sz w:val="16"/>
                  <w:szCs w:val="16"/>
                  <w:color w:val="0000EE"/>
                  <w:w w:val="94"/>
                </w:rPr>
                <w:t>PTY LTD ACN 107 422 631.</w:t>
              </w:r>
            </w:hyperlink>
          </w:p>
        </w:tc>
        <w:tc>
          <w:tcPr>
            <w:tcW w:w="3820" w:type="dxa"/>
            <w:vAlign w:val="bottom"/>
            <w:gridSpan w:val="1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39"/>
        </w:trPr>
        <w:tc>
          <w:tcPr>
            <w:tcW w:w="920" w:type="dxa"/>
            <w:vAlign w:val="bottom"/>
          </w:tcPr>
          <w:p>
            <w:pPr>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81">
              <w:r>
                <w:rPr>
                  <w:rFonts w:ascii="Arial" w:cs="Arial" w:eastAsia="Arial" w:hAnsi="Arial"/>
                  <w:sz w:val="16"/>
                  <w:szCs w:val="16"/>
                  <w:u w:val="single" w:color="auto"/>
                  <w:color w:val="0000EE"/>
                </w:rPr>
                <w:t>Offer Letter dated May 29, 2015, by and between the Registrant and Brent Bellm</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289"/>
        </w:trPr>
        <w:tc>
          <w:tcPr>
            <w:tcW w:w="920" w:type="dxa"/>
            <w:vAlign w:val="bottom"/>
          </w:tcPr>
          <w:p>
            <w:pPr>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color w:val="0000EE"/>
                <w:w w:val="96"/>
              </w:rPr>
            </w:pPr>
            <w:hyperlink r:id="rId82">
              <w:r>
                <w:rPr>
                  <w:rFonts w:ascii="Arial" w:cs="Arial" w:eastAsia="Arial" w:hAnsi="Arial"/>
                  <w:sz w:val="16"/>
                  <w:szCs w:val="16"/>
                  <w:color w:val="0000EE"/>
                  <w:w w:val="96"/>
                </w:rPr>
                <w:t>Amendment to Offer Letter dated February 12, 2019, by and between the Registrant</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40" w:type="dxa"/>
            <w:vAlign w:val="bottom"/>
            <w:tcBorders>
              <w:top w:val="single" w:sz="8" w:color="0000EE"/>
            </w:tcBorders>
            <w:gridSpan w:val="20"/>
          </w:tcPr>
          <w:p>
            <w:pPr>
              <w:spacing w:after="0" w:line="183" w:lineRule="exact"/>
              <w:rPr>
                <w:rFonts w:ascii="Arial" w:cs="Arial" w:eastAsia="Arial" w:hAnsi="Arial"/>
                <w:sz w:val="16"/>
                <w:szCs w:val="16"/>
                <w:color w:val="0000EE"/>
              </w:rPr>
            </w:pPr>
            <w:hyperlink r:id="rId82">
              <w:r>
                <w:rPr>
                  <w:rFonts w:ascii="Arial" w:cs="Arial" w:eastAsia="Arial" w:hAnsi="Arial"/>
                  <w:sz w:val="16"/>
                  <w:szCs w:val="16"/>
                  <w:color w:val="0000EE"/>
                </w:rPr>
                <w:t>and Brent Bellm</w:t>
              </w:r>
            </w:hyperlink>
          </w:p>
        </w:tc>
        <w:tc>
          <w:tcPr>
            <w:tcW w:w="30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w w:val="98"/>
              </w:rPr>
            </w:pPr>
            <w:hyperlink r:id="rId83">
              <w:r>
                <w:rPr>
                  <w:rFonts w:ascii="Arial" w:cs="Arial" w:eastAsia="Arial" w:hAnsi="Arial"/>
                  <w:sz w:val="16"/>
                  <w:szCs w:val="16"/>
                  <w:u w:val="single" w:color="auto"/>
                  <w:color w:val="0000EE"/>
                  <w:w w:val="98"/>
                </w:rPr>
                <w:t>Offer Letter dated May 10, 2018, by and between the Registrant and Lisa Pearson</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w w:val="94"/>
              </w:rPr>
            </w:pPr>
            <w:hyperlink r:id="rId84">
              <w:r>
                <w:rPr>
                  <w:rFonts w:ascii="Arial" w:cs="Arial" w:eastAsia="Arial" w:hAnsi="Arial"/>
                  <w:sz w:val="16"/>
                  <w:szCs w:val="16"/>
                  <w:u w:val="single" w:color="auto"/>
                  <w:color w:val="0000EE"/>
                  <w:w w:val="94"/>
                </w:rPr>
                <w:t>Offer Letter dated September 9, 2016, by and between the Registrant and Brian Dhatt</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290"/>
        </w:trPr>
        <w:tc>
          <w:tcPr>
            <w:tcW w:w="920" w:type="dxa"/>
            <w:vAlign w:val="bottom"/>
          </w:tcPr>
          <w:p>
            <w:pPr>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color w:val="0000EE"/>
                <w:w w:val="96"/>
              </w:rPr>
            </w:pPr>
            <w:hyperlink r:id="rId85">
              <w:r>
                <w:rPr>
                  <w:rFonts w:ascii="Arial" w:cs="Arial" w:eastAsia="Arial" w:hAnsi="Arial"/>
                  <w:sz w:val="16"/>
                  <w:szCs w:val="16"/>
                  <w:color w:val="0000EE"/>
                  <w:w w:val="96"/>
                </w:rPr>
                <w:t>Amendment to Offer Letter dated February 2, 2017, by and between BigCommerce,</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3"/>
              </w:rPr>
            </w:pPr>
            <w:hyperlink r:id="rId85">
              <w:r>
                <w:rPr>
                  <w:rFonts w:ascii="Arial" w:cs="Arial" w:eastAsia="Arial" w:hAnsi="Arial"/>
                  <w:sz w:val="16"/>
                  <w:szCs w:val="16"/>
                  <w:color w:val="0000EE"/>
                  <w:w w:val="93"/>
                </w:rPr>
                <w:t>Inc. and Brian Dhatt</w:t>
              </w:r>
            </w:hyperlink>
          </w:p>
        </w:tc>
        <w:tc>
          <w:tcPr>
            <w:tcW w:w="4100" w:type="dxa"/>
            <w:vAlign w:val="bottom"/>
            <w:tcBorders>
              <w:top w:val="single" w:sz="8" w:color="0000EE"/>
            </w:tcBorders>
            <w:gridSpan w:val="12"/>
          </w:tcPr>
          <w:p>
            <w:pPr>
              <w:spacing w:after="0"/>
              <w:rPr>
                <w:sz w:val="15"/>
                <w:szCs w:val="15"/>
                <w:color w:val="auto"/>
              </w:rPr>
            </w:pPr>
          </w:p>
        </w:tc>
        <w:tc>
          <w:tcPr>
            <w:tcW w:w="30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5560" w:type="dxa"/>
            <w:vAlign w:val="bottom"/>
            <w:tcBorders>
              <w:bottom w:val="single" w:sz="8" w:color="0000EE"/>
            </w:tcBorders>
            <w:gridSpan w:val="22"/>
          </w:tcPr>
          <w:p>
            <w:pPr>
              <w:spacing w:after="0"/>
              <w:rPr>
                <w:rFonts w:ascii="Arial" w:cs="Arial" w:eastAsia="Arial" w:hAnsi="Arial"/>
                <w:sz w:val="16"/>
                <w:szCs w:val="16"/>
                <w:color w:val="0000EE"/>
                <w:w w:val="91"/>
              </w:rPr>
            </w:pPr>
            <w:hyperlink r:id="rId86">
              <w:r>
                <w:rPr>
                  <w:rFonts w:ascii="Arial" w:cs="Arial" w:eastAsia="Arial" w:hAnsi="Arial"/>
                  <w:sz w:val="16"/>
                  <w:szCs w:val="16"/>
                  <w:color w:val="0000EE"/>
                  <w:w w:val="91"/>
                </w:rPr>
                <w:t>Office Lease, dated November 20, 2012, by and between New TPG-Four Points, L.P.</w:t>
              </w:r>
            </w:hyperlink>
          </w:p>
        </w:tc>
        <w:tc>
          <w:tcPr>
            <w:tcW w:w="180" w:type="dxa"/>
            <w:vAlign w:val="bottom"/>
            <w:gridSpan w:val="4"/>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gridSpan w:val="26"/>
          </w:tcPr>
          <w:p>
            <w:pPr>
              <w:spacing w:after="0" w:line="183" w:lineRule="exact"/>
              <w:rPr>
                <w:rFonts w:ascii="Arial" w:cs="Arial" w:eastAsia="Arial" w:hAnsi="Arial"/>
                <w:sz w:val="16"/>
                <w:szCs w:val="16"/>
                <w:color w:val="0000EE"/>
              </w:rPr>
            </w:pPr>
            <w:hyperlink r:id="rId86">
              <w:r>
                <w:rPr>
                  <w:rFonts w:ascii="Arial" w:cs="Arial" w:eastAsia="Arial" w:hAnsi="Arial"/>
                  <w:sz w:val="16"/>
                  <w:szCs w:val="16"/>
                  <w:color w:val="0000EE"/>
                </w:rPr>
                <w:t>and BigCommerce, Inc.</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color w:val="0000EE"/>
                <w:w w:val="98"/>
              </w:rPr>
            </w:pPr>
            <w:hyperlink r:id="rId87">
              <w:r>
                <w:rPr>
                  <w:rFonts w:ascii="Arial" w:cs="Arial" w:eastAsia="Arial" w:hAnsi="Arial"/>
                  <w:sz w:val="16"/>
                  <w:szCs w:val="16"/>
                  <w:color w:val="0000EE"/>
                  <w:w w:val="98"/>
                </w:rPr>
                <w:t>First Amendment to Lease, dated February 5, 2018, by and between G&amp;I VII Four</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1"/>
              </w:rPr>
            </w:pPr>
            <w:hyperlink r:id="rId87">
              <w:r>
                <w:rPr>
                  <w:rFonts w:ascii="Arial" w:cs="Arial" w:eastAsia="Arial" w:hAnsi="Arial"/>
                  <w:sz w:val="16"/>
                  <w:szCs w:val="16"/>
                  <w:color w:val="0000EE"/>
                  <w:w w:val="91"/>
                </w:rPr>
                <w:t>Points LP and BigCommerce, Inc.</w:t>
              </w:r>
            </w:hyperlink>
          </w:p>
        </w:tc>
        <w:tc>
          <w:tcPr>
            <w:tcW w:w="3120" w:type="dxa"/>
            <w:vAlign w:val="bottom"/>
            <w:tcBorders>
              <w:top w:val="single" w:sz="8" w:color="0000EE"/>
            </w:tcBorders>
            <w:gridSpan w:val="6"/>
          </w:tcPr>
          <w:p>
            <w:pPr>
              <w:spacing w:after="0"/>
              <w:rPr>
                <w:sz w:val="15"/>
                <w:szCs w:val="15"/>
                <w:color w:val="auto"/>
              </w:rPr>
            </w:pPr>
          </w:p>
        </w:tc>
        <w:tc>
          <w:tcPr>
            <w:tcW w:w="40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color w:val="0000EE"/>
                <w:w w:val="96"/>
              </w:rPr>
            </w:pPr>
            <w:hyperlink r:id="rId88">
              <w:r>
                <w:rPr>
                  <w:rFonts w:ascii="Arial" w:cs="Arial" w:eastAsia="Arial" w:hAnsi="Arial"/>
                  <w:sz w:val="16"/>
                  <w:szCs w:val="16"/>
                  <w:color w:val="0000EE"/>
                  <w:w w:val="96"/>
                </w:rPr>
                <w:t>Second Amendment to Lease, dated October 4, 2018, by and between G&amp;I VII Four</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2"/>
          </w:tcPr>
          <w:p>
            <w:pPr>
              <w:spacing w:after="0" w:line="183" w:lineRule="exact"/>
              <w:rPr>
                <w:rFonts w:ascii="Arial" w:cs="Arial" w:eastAsia="Arial" w:hAnsi="Arial"/>
                <w:sz w:val="16"/>
                <w:szCs w:val="16"/>
                <w:color w:val="0000EE"/>
                <w:w w:val="91"/>
              </w:rPr>
            </w:pPr>
            <w:hyperlink r:id="rId88">
              <w:r>
                <w:rPr>
                  <w:rFonts w:ascii="Arial" w:cs="Arial" w:eastAsia="Arial" w:hAnsi="Arial"/>
                  <w:sz w:val="16"/>
                  <w:szCs w:val="16"/>
                  <w:color w:val="0000EE"/>
                  <w:w w:val="91"/>
                </w:rPr>
                <w:t>Points LP and BigCommerce, Inc.</w:t>
              </w:r>
            </w:hyperlink>
          </w:p>
        </w:tc>
        <w:tc>
          <w:tcPr>
            <w:tcW w:w="3240" w:type="dxa"/>
            <w:vAlign w:val="bottom"/>
            <w:tcBorders>
              <w:top w:val="single" w:sz="8" w:color="0000EE"/>
            </w:tcBorders>
            <w:gridSpan w:val="9"/>
          </w:tcPr>
          <w:p>
            <w:pPr>
              <w:spacing w:after="0"/>
              <w:rPr>
                <w:sz w:val="15"/>
                <w:szCs w:val="15"/>
                <w:color w:val="auto"/>
              </w:rPr>
            </w:pPr>
          </w:p>
        </w:tc>
        <w:tc>
          <w:tcPr>
            <w:tcW w:w="28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5620" w:type="dxa"/>
            <w:vAlign w:val="bottom"/>
            <w:tcBorders>
              <w:bottom w:val="single" w:sz="8" w:color="0000EE"/>
            </w:tcBorders>
            <w:gridSpan w:val="23"/>
          </w:tcPr>
          <w:p>
            <w:pPr>
              <w:spacing w:after="0"/>
              <w:rPr>
                <w:rFonts w:ascii="Arial" w:cs="Arial" w:eastAsia="Arial" w:hAnsi="Arial"/>
                <w:sz w:val="16"/>
                <w:szCs w:val="16"/>
                <w:color w:val="0000EE"/>
                <w:w w:val="91"/>
              </w:rPr>
            </w:pPr>
            <w:hyperlink r:id="rId89">
              <w:r>
                <w:rPr>
                  <w:rFonts w:ascii="Arial" w:cs="Arial" w:eastAsia="Arial" w:hAnsi="Arial"/>
                  <w:sz w:val="16"/>
                  <w:szCs w:val="16"/>
                  <w:color w:val="0000EE"/>
                  <w:w w:val="91"/>
                </w:rPr>
                <w:t>PayPal Commerce Platform Global Partner Agreement, dated January 1, 2020, by and</w:t>
              </w:r>
            </w:hyperlink>
          </w:p>
        </w:tc>
        <w:tc>
          <w:tcPr>
            <w:tcW w:w="120" w:type="dxa"/>
            <w:vAlign w:val="bottom"/>
            <w:gridSpan w:val="3"/>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gridSpan w:val="26"/>
          </w:tcPr>
          <w:p>
            <w:pPr>
              <w:spacing w:after="0" w:line="183" w:lineRule="exact"/>
              <w:rPr>
                <w:rFonts w:ascii="Arial" w:cs="Arial" w:eastAsia="Arial" w:hAnsi="Arial"/>
                <w:sz w:val="16"/>
                <w:szCs w:val="16"/>
                <w:color w:val="0000EE"/>
              </w:rPr>
            </w:pPr>
            <w:hyperlink r:id="rId89">
              <w:r>
                <w:rPr>
                  <w:rFonts w:ascii="Arial" w:cs="Arial" w:eastAsia="Arial" w:hAnsi="Arial"/>
                  <w:sz w:val="16"/>
                  <w:szCs w:val="16"/>
                  <w:color w:val="0000EE"/>
                </w:rPr>
                <w:t>among PayPal, Inc., PayPal Pte. Ltd, BigCommerce, Inc., BigCommerce Pty Ltd,</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13"/>
          </w:tcPr>
          <w:p>
            <w:pPr>
              <w:spacing w:after="0" w:line="183" w:lineRule="exact"/>
              <w:rPr>
                <w:rFonts w:ascii="Arial" w:cs="Arial" w:eastAsia="Arial" w:hAnsi="Arial"/>
                <w:sz w:val="16"/>
                <w:szCs w:val="16"/>
                <w:color w:val="0000EE"/>
                <w:w w:val="93"/>
              </w:rPr>
            </w:pPr>
            <w:hyperlink r:id="rId89">
              <w:r>
                <w:rPr>
                  <w:rFonts w:ascii="Arial" w:cs="Arial" w:eastAsia="Arial" w:hAnsi="Arial"/>
                  <w:sz w:val="16"/>
                  <w:szCs w:val="16"/>
                  <w:color w:val="0000EE"/>
                  <w:w w:val="93"/>
                </w:rPr>
                <w:t>BigCommerce UK Ltd, and BigCommerce Software Ireland Limited</w:t>
              </w:r>
            </w:hyperlink>
          </w:p>
        </w:tc>
        <w:tc>
          <w:tcPr>
            <w:tcW w:w="820" w:type="dxa"/>
            <w:vAlign w:val="bottom"/>
            <w:tcBorders>
              <w:top w:val="single" w:sz="8" w:color="0000EE"/>
            </w:tcBorders>
            <w:gridSpan w:val="4"/>
          </w:tcPr>
          <w:p>
            <w:pPr>
              <w:spacing w:after="0"/>
              <w:rPr>
                <w:sz w:val="15"/>
                <w:szCs w:val="15"/>
                <w:color w:val="auto"/>
              </w:rPr>
            </w:pPr>
          </w:p>
        </w:tc>
        <w:tc>
          <w:tcPr>
            <w:tcW w:w="460" w:type="dxa"/>
            <w:vAlign w:val="bottom"/>
            <w:gridSpan w:val="9"/>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w:anchor="page77">
              <w:r>
                <w:rPr>
                  <w:rFonts w:ascii="Arial" w:cs="Arial" w:eastAsia="Arial" w:hAnsi="Arial"/>
                  <w:sz w:val="16"/>
                  <w:szCs w:val="16"/>
                  <w:u w:val="single" w:color="auto"/>
                  <w:color w:val="0000EE"/>
                </w:rPr>
                <w:t>BigCommerce Holdings, Inc. 2020 Executive Bonus Plan</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BigCommerce Holdings, Inc, 2021 Executive Bonus Plan</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r:id="rId90">
              <w:r>
                <w:rPr>
                  <w:rFonts w:ascii="Arial" w:cs="Arial" w:eastAsia="Arial" w:hAnsi="Arial"/>
                  <w:sz w:val="16"/>
                  <w:szCs w:val="16"/>
                  <w:u w:val="single" w:color="auto"/>
                  <w:color w:val="0000EE"/>
                </w:rPr>
                <w:t>List of Subsidiaries of the Registrant</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21.1</w:t>
            </w:r>
          </w:p>
        </w:tc>
        <w:tc>
          <w:tcPr>
            <w:tcW w:w="120" w:type="dxa"/>
            <w:vAlign w:val="bottom"/>
          </w:tcPr>
          <w:p>
            <w:pPr>
              <w:spacing w:after="0"/>
              <w:rPr>
                <w:sz w:val="24"/>
                <w:szCs w:val="2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color w:val="auto"/>
                <w:w w:val="92"/>
              </w:rPr>
              <w:t>July 13, 2020</w:t>
            </w:r>
          </w:p>
        </w:tc>
      </w:tr>
      <w:tr>
        <w:trPr>
          <w:trHeight w:val="324"/>
        </w:trPr>
        <w:tc>
          <w:tcPr>
            <w:tcW w:w="920" w:type="dxa"/>
            <w:vAlign w:val="bottom"/>
          </w:tcPr>
          <w:p>
            <w:pPr>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4"/>
                <w:szCs w:val="24"/>
                <w:color w:val="auto"/>
              </w:rPr>
            </w:pPr>
          </w:p>
        </w:tc>
        <w:tc>
          <w:tcPr>
            <w:tcW w:w="5740" w:type="dxa"/>
            <w:vAlign w:val="bottom"/>
            <w:gridSpan w:val="26"/>
          </w:tcPr>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Consent of Independent Registered Public Accounting Firm</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89"/>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200" w:type="dxa"/>
            <w:vAlign w:val="bottom"/>
            <w:gridSpan w:val="36"/>
          </w:tcPr>
          <w:p>
            <w:pPr>
              <w:spacing w:after="0"/>
              <w:rPr>
                <w:rFonts w:ascii="Arial" w:cs="Arial" w:eastAsia="Arial" w:hAnsi="Arial"/>
                <w:sz w:val="16"/>
                <w:szCs w:val="16"/>
                <w:color w:val="0000EE"/>
                <w:w w:val="93"/>
              </w:rPr>
            </w:pPr>
            <w:hyperlink w:anchor="page81">
              <w:r>
                <w:rPr>
                  <w:rFonts w:ascii="Arial" w:cs="Arial" w:eastAsia="Arial" w:hAnsi="Arial"/>
                  <w:sz w:val="16"/>
                  <w:szCs w:val="16"/>
                  <w:color w:val="0000EE"/>
                  <w:w w:val="93"/>
                </w:rPr>
                <w:t>Certification of Principal Executive Officer pursuant to Exchange Act Rules 13a-14(a) and 15d-14(a), as adopted pursuant to Section 302 of the Sarbanes-</w:t>
              </w:r>
            </w:hyperlink>
          </w:p>
        </w:tc>
      </w:tr>
      <w:tr>
        <w:trPr>
          <w:trHeight w:val="156"/>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top w:val="single" w:sz="8" w:color="0000EE"/>
              <w:bottom w:val="single" w:sz="8" w:color="0000EE"/>
            </w:tcBorders>
            <w:gridSpan w:val="5"/>
          </w:tcPr>
          <w:p>
            <w:pPr>
              <w:spacing w:after="0" w:line="155" w:lineRule="exact"/>
              <w:rPr>
                <w:rFonts w:ascii="Arial" w:cs="Arial" w:eastAsia="Arial" w:hAnsi="Arial"/>
                <w:sz w:val="16"/>
                <w:szCs w:val="16"/>
                <w:color w:val="0000EE"/>
                <w:w w:val="93"/>
              </w:rPr>
            </w:pPr>
            <w:hyperlink w:anchor="page81">
              <w:r>
                <w:rPr>
                  <w:rFonts w:ascii="Arial" w:cs="Arial" w:eastAsia="Arial" w:hAnsi="Arial"/>
                  <w:sz w:val="16"/>
                  <w:szCs w:val="16"/>
                  <w:color w:val="0000EE"/>
                  <w:w w:val="93"/>
                </w:rPr>
                <w:t>Oxley Act of 2002.</w:t>
              </w:r>
            </w:hyperlink>
          </w:p>
        </w:tc>
        <w:tc>
          <w:tcPr>
            <w:tcW w:w="80" w:type="dxa"/>
            <w:vAlign w:val="bottom"/>
            <w:tcBorders>
              <w:top w:val="single" w:sz="8" w:color="0000EE"/>
              <w:bottom w:val="single" w:sz="8" w:color="0000EE"/>
            </w:tcBorders>
            <w:gridSpan w:val="2"/>
          </w:tcPr>
          <w:p>
            <w:pPr>
              <w:jc w:val="right"/>
              <w:spacing w:after="0" w:line="142" w:lineRule="exact"/>
              <w:rPr>
                <w:rFonts w:ascii="Arial" w:cs="Arial" w:eastAsia="Arial" w:hAnsi="Arial"/>
                <w:sz w:val="14"/>
                <w:szCs w:val="14"/>
                <w:color w:val="0000EE"/>
                <w:w w:val="76"/>
              </w:rPr>
            </w:pPr>
            <w:hyperlink w:anchor="page81">
              <w:r>
                <w:rPr>
                  <w:rFonts w:ascii="Arial" w:cs="Arial" w:eastAsia="Arial" w:hAnsi="Arial"/>
                  <w:sz w:val="14"/>
                  <w:szCs w:val="14"/>
                  <w:color w:val="0000EE"/>
                  <w:w w:val="76"/>
                </w:rPr>
                <w:t>1</w:t>
              </w:r>
            </w:hyperlink>
          </w:p>
        </w:tc>
        <w:tc>
          <w:tcPr>
            <w:tcW w:w="560" w:type="dxa"/>
            <w:vAlign w:val="bottom"/>
            <w:tcBorders>
              <w:top w:val="single" w:sz="8" w:color="0000EE"/>
              <w:bottom w:val="single" w:sz="8" w:color="0000EE"/>
            </w:tcBorders>
            <w:gridSpan w:val="3"/>
          </w:tcPr>
          <w:p>
            <w:pPr>
              <w:spacing w:after="0"/>
              <w:rPr>
                <w:sz w:val="13"/>
                <w:szCs w:val="13"/>
                <w:color w:val="auto"/>
              </w:rPr>
            </w:pPr>
          </w:p>
        </w:tc>
        <w:tc>
          <w:tcPr>
            <w:tcW w:w="3860" w:type="dxa"/>
            <w:vAlign w:val="bottom"/>
            <w:tcBorders>
              <w:top w:val="single" w:sz="8" w:color="0000EE"/>
              <w:bottom w:val="single" w:sz="8" w:color="0000EE"/>
            </w:tcBorders>
            <w:gridSpan w:val="16"/>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3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9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0000EE"/>
            </w:tcBorders>
            <w:gridSpan w:val="5"/>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80" w:type="dxa"/>
            <w:vAlign w:val="bottom"/>
            <w:gridSpan w:val="2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10200" w:type="dxa"/>
            <w:vAlign w:val="bottom"/>
            <w:gridSpan w:val="36"/>
          </w:tcPr>
          <w:p>
            <w:pPr>
              <w:spacing w:after="0"/>
              <w:rPr>
                <w:rFonts w:ascii="Arial" w:cs="Arial" w:eastAsia="Arial" w:hAnsi="Arial"/>
                <w:sz w:val="16"/>
                <w:szCs w:val="16"/>
                <w:color w:val="0000EE"/>
                <w:w w:val="93"/>
              </w:rPr>
            </w:pPr>
            <w:hyperlink w:anchor="page82">
              <w:r>
                <w:rPr>
                  <w:rFonts w:ascii="Arial" w:cs="Arial" w:eastAsia="Arial" w:hAnsi="Arial"/>
                  <w:sz w:val="16"/>
                  <w:szCs w:val="16"/>
                  <w:color w:val="0000EE"/>
                  <w:w w:val="93"/>
                </w:rPr>
                <w:t>Certification of Principal Financial Officer pursuant to Exchange Act Rules 13a-14(a) and 15d-14(a), as adopted pursuant to Section 302 of the Sarbanes-</w:t>
              </w:r>
            </w:hyperlink>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4"/>
              </w:rPr>
            </w:pPr>
            <w:hyperlink w:anchor="page82">
              <w:r>
                <w:rPr>
                  <w:rFonts w:ascii="Arial" w:cs="Arial" w:eastAsia="Arial" w:hAnsi="Arial"/>
                  <w:sz w:val="16"/>
                  <w:szCs w:val="16"/>
                  <w:color w:val="0000EE"/>
                  <w:w w:val="94"/>
                </w:rPr>
                <w:t>Oxley Act of 2002.</w:t>
              </w:r>
            </w:hyperlink>
          </w:p>
        </w:tc>
        <w:tc>
          <w:tcPr>
            <w:tcW w:w="4480" w:type="dxa"/>
            <w:vAlign w:val="bottom"/>
            <w:tcBorders>
              <w:top w:val="single" w:sz="8" w:color="0000EE"/>
            </w:tcBorders>
            <w:gridSpan w:val="20"/>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6"/>
                <w:szCs w:val="16"/>
                <w:color w:val="auto"/>
              </w:rPr>
              <w:t>32.1†</w:t>
            </w:r>
          </w:p>
        </w:tc>
        <w:tc>
          <w:tcPr>
            <w:tcW w:w="10200" w:type="dxa"/>
            <w:vAlign w:val="bottom"/>
            <w:gridSpan w:val="36"/>
          </w:tcPr>
          <w:p>
            <w:pPr>
              <w:spacing w:after="0"/>
              <w:rPr>
                <w:rFonts w:ascii="Arial" w:cs="Arial" w:eastAsia="Arial" w:hAnsi="Arial"/>
                <w:sz w:val="16"/>
                <w:szCs w:val="16"/>
                <w:color w:val="0000EE"/>
                <w:w w:val="94"/>
              </w:rPr>
            </w:pPr>
            <w:hyperlink w:anchor="page83">
              <w:r>
                <w:rPr>
                  <w:rFonts w:ascii="Arial" w:cs="Arial" w:eastAsia="Arial" w:hAnsi="Arial"/>
                  <w:sz w:val="16"/>
                  <w:szCs w:val="16"/>
                  <w:color w:val="0000EE"/>
                  <w:w w:val="94"/>
                </w:rPr>
                <w:t>Certification of Principal Executive Officer and Principal Financial Officer Pursuant to 18 U.S.C. Section 1350, as Adopted Pursuant to Section 906 of the</w:t>
              </w:r>
            </w:hyperlink>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tcBorders>
              <w:top w:val="single" w:sz="8" w:color="0000EE"/>
            </w:tcBorders>
            <w:gridSpan w:val="26"/>
          </w:tcPr>
          <w:p>
            <w:pPr>
              <w:spacing w:after="0" w:line="183" w:lineRule="exact"/>
              <w:rPr>
                <w:rFonts w:ascii="Arial" w:cs="Arial" w:eastAsia="Arial" w:hAnsi="Arial"/>
                <w:sz w:val="16"/>
                <w:szCs w:val="16"/>
                <w:color w:val="0000EE"/>
              </w:rPr>
            </w:pPr>
            <w:hyperlink w:anchor="page83">
              <w:r>
                <w:rPr>
                  <w:rFonts w:ascii="Arial" w:cs="Arial" w:eastAsia="Arial" w:hAnsi="Arial"/>
                  <w:sz w:val="16"/>
                  <w:szCs w:val="16"/>
                  <w:color w:val="0000EE"/>
                </w:rPr>
                <w:t>Sarbanes-Oxley Act of 2002.</w:t>
              </w:r>
            </w:hyperlink>
          </w:p>
        </w:tc>
        <w:tc>
          <w:tcPr>
            <w:tcW w:w="6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88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auto"/>
                <w:w w:val="98"/>
              </w:rPr>
              <w:t>XBRL Instance Document.</w:t>
            </w:r>
          </w:p>
        </w:tc>
        <w:tc>
          <w:tcPr>
            <w:tcW w:w="3860" w:type="dxa"/>
            <w:vAlign w:val="bottom"/>
            <w:gridSpan w:val="16"/>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color w:val="auto"/>
              </w:rPr>
              <w:t>101.SCH**</w:t>
            </w:r>
          </w:p>
        </w:tc>
        <w:tc>
          <w:tcPr>
            <w:tcW w:w="5740" w:type="dxa"/>
            <w:vAlign w:val="bottom"/>
            <w:gridSpan w:val="26"/>
          </w:tcPr>
          <w:p>
            <w:pPr>
              <w:spacing w:after="0"/>
              <w:rPr>
                <w:sz w:val="20"/>
                <w:szCs w:val="20"/>
                <w:color w:val="auto"/>
              </w:rPr>
            </w:pPr>
            <w:r>
              <w:rPr>
                <w:rFonts w:ascii="Arial" w:cs="Arial" w:eastAsia="Arial" w:hAnsi="Arial"/>
                <w:sz w:val="16"/>
                <w:szCs w:val="16"/>
                <w:color w:val="auto"/>
              </w:rPr>
              <w:t>XBRL Taxonomy Extension Schema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color w:val="auto"/>
              </w:rPr>
              <w:t>101.CAL**</w:t>
            </w:r>
          </w:p>
        </w:tc>
        <w:tc>
          <w:tcPr>
            <w:tcW w:w="5740" w:type="dxa"/>
            <w:vAlign w:val="bottom"/>
            <w:gridSpan w:val="2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color w:val="auto"/>
              </w:rPr>
              <w:t>101.DEF**</w:t>
            </w:r>
          </w:p>
        </w:tc>
        <w:tc>
          <w:tcPr>
            <w:tcW w:w="5740" w:type="dxa"/>
            <w:vAlign w:val="bottom"/>
            <w:gridSpan w:val="26"/>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color w:val="auto"/>
              </w:rPr>
              <w:t>101.LAB**</w:t>
            </w:r>
          </w:p>
        </w:tc>
        <w:tc>
          <w:tcPr>
            <w:tcW w:w="5740" w:type="dxa"/>
            <w:vAlign w:val="bottom"/>
            <w:gridSpan w:val="26"/>
          </w:tcPr>
          <w:p>
            <w:pPr>
              <w:spacing w:after="0"/>
              <w:rPr>
                <w:sz w:val="20"/>
                <w:szCs w:val="20"/>
                <w:color w:val="auto"/>
              </w:rPr>
            </w:pPr>
            <w:r>
              <w:rPr>
                <w:rFonts w:ascii="Arial" w:cs="Arial" w:eastAsia="Arial" w:hAnsi="Arial"/>
                <w:sz w:val="16"/>
                <w:szCs w:val="16"/>
                <w:color w:val="auto"/>
              </w:rPr>
              <w:t>XBRL Taxonomy Extension Label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color w:val="auto"/>
              </w:rPr>
              <w:t>101.PRE**</w:t>
            </w:r>
          </w:p>
        </w:tc>
        <w:tc>
          <w:tcPr>
            <w:tcW w:w="5740" w:type="dxa"/>
            <w:vAlign w:val="bottom"/>
            <w:gridSpan w:val="2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5"/>
        </w:trPr>
        <w:tc>
          <w:tcPr>
            <w:tcW w:w="9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19030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2" w:lineRule="exact"/>
        <w:rPr>
          <w:sz w:val="20"/>
          <w:szCs w:val="20"/>
          <w:color w:val="auto"/>
        </w:rPr>
      </w:pPr>
    </w:p>
    <w:p>
      <w:pPr>
        <w:ind w:left="500" w:right="120" w:hanging="492"/>
        <w:spacing w:after="0" w:line="264"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deemed furnished and not filed with the Securities and Exchange Commission and are not to be incorporated by reference into any filing of BigCommerce Holdings, Inc. under the Securities Act of 1933, as amended, or the Securities Exchange Act of 1934, as amended, whether made before or after the date of this Annual Report on Form 10-K, irrespective of any general incorporation language contained in such filing.</w:t>
      </w:r>
    </w:p>
    <w:p>
      <w:pPr>
        <w:ind w:left="500" w:right="260" w:hanging="492"/>
        <w:spacing w:after="0" w:line="264"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Item 601(a)(5) of Regulation S-K promulgated by the SEC, certain exhibits and schedules to this agreement have been omitted. The Company hereby agrees to furnish supplementally to the SEC, upon its request, any or all of such omitted exhibits or schedules.</w:t>
      </w: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492"/>
        <w:spacing w:after="0" w:line="288"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Portions of this exhibit have been omitted as we have determined that the information (i) is not material and (ii) would likely cause competitive harm to us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BIGCOMMERCE HOLDINGS, INC</w:t>
      </w:r>
    </w:p>
    <w:p>
      <w:pPr>
        <w:spacing w:after="0" w:line="248" w:lineRule="exact"/>
        <w:rPr>
          <w:sz w:val="20"/>
          <w:szCs w:val="20"/>
          <w:color w:val="auto"/>
        </w:rPr>
      </w:pPr>
    </w:p>
    <w:p>
      <w:pPr>
        <w:spacing w:after="0"/>
        <w:tabs>
          <w:tab w:leader="none" w:pos="5720" w:val="left"/>
          <w:tab w:leader="none" w:pos="8120" w:val="left"/>
        </w:tabs>
        <w:rPr>
          <w:sz w:val="20"/>
          <w:szCs w:val="20"/>
          <w:color w:val="auto"/>
        </w:rPr>
      </w:pPr>
      <w:r>
        <w:rPr>
          <w:rFonts w:ascii="Arial" w:cs="Arial" w:eastAsia="Arial" w:hAnsi="Arial"/>
          <w:sz w:val="16"/>
          <w:szCs w:val="16"/>
          <w:color w:val="auto"/>
        </w:rPr>
        <w:t>Date: February 26,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Brent Bellm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17780</wp:posOffset>
            </wp:positionV>
            <wp:extent cx="32918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Brent Bellm</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9" w:lineRule="exact"/>
        <w:rPr>
          <w:sz w:val="20"/>
          <w:szCs w:val="20"/>
          <w:color w:val="auto"/>
        </w:rPr>
      </w:pPr>
    </w:p>
    <w:p>
      <w:pPr>
        <w:ind w:right="440" w:firstLine="510"/>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24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29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Brent Bellm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3"/>
              </w:rPr>
              <w:t>President, Chief Executive Officer and 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3"/>
              </w:rPr>
              <w:t>Brent Bellm</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Robert Alvarez</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5"/>
              </w:rPr>
              <w:t>Chief Financial Officer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3"/>
              </w:rPr>
              <w:t>Robert Alvarez</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Thomas Aylor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3"/>
              </w:rPr>
              <w:t>Vice President, Accounting</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1"/>
              </w:rPr>
              <w:t>Thomas Aylor</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(Principal Accounting Officer)</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Lawrence Bohn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2"/>
              </w:rPr>
              <w:t>Lawrence Bohn</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Donald E. Clark</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6"/>
              </w:rPr>
              <w:t>Donald E. Clark</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John T. McDonald</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4"/>
              </w:rPr>
              <w:t>John T. McDonald</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Steven Murray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6"/>
              </w:rPr>
              <w:t>Steven Murray</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Jeff Richards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2"/>
              </w:rPr>
              <w:t>Jeff Richards</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Ellen F. Siminoff</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February 26, 2021</w:t>
            </w:r>
          </w:p>
        </w:tc>
        <w:tc>
          <w:tcPr>
            <w:tcW w:w="20" w:type="dxa"/>
            <w:vAlign w:val="bottom"/>
          </w:tcPr>
          <w:p>
            <w:pPr>
              <w:spacing w:after="0"/>
              <w:rPr>
                <w:sz w:val="24"/>
                <w:szCs w:val="24"/>
                <w:color w:val="auto"/>
              </w:rPr>
            </w:pP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2"/>
              </w:rPr>
              <w:t>Ellen F. Siminoff</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50"/>
        </w:trPr>
        <w:tc>
          <w:tcPr>
            <w:tcW w:w="3700" w:type="dxa"/>
            <w:vAlign w:val="bottom"/>
          </w:tcPr>
          <w:p>
            <w:pPr>
              <w:spacing w:after="0"/>
              <w:rPr>
                <w:sz w:val="24"/>
                <w:szCs w:val="24"/>
                <w:color w:val="auto"/>
              </w:rPr>
            </w:pPr>
          </w:p>
        </w:tc>
        <w:tc>
          <w:tcPr>
            <w:tcW w:w="4980" w:type="dxa"/>
            <w:vAlign w:val="bottom"/>
            <w:gridSpan w:val="2"/>
          </w:tcPr>
          <w:p>
            <w:pPr>
              <w:jc w:val="right"/>
              <w:ind w:right="290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3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0"/>
        </w:trPr>
        <w:tc>
          <w:tcPr>
            <w:tcW w:w="10280" w:type="dxa"/>
            <w:vAlign w:val="bottom"/>
          </w:tcPr>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tc>
        <w:tc>
          <w:tcPr>
            <w:tcW w:w="980" w:type="dxa"/>
            <w:vAlign w:val="bottom"/>
          </w:tcPr>
          <w:p>
            <w:pPr>
              <w:spacing w:after="0"/>
              <w:rPr>
                <w:sz w:val="18"/>
                <w:szCs w:val="18"/>
                <w:color w:val="auto"/>
              </w:rPr>
            </w:pPr>
          </w:p>
        </w:tc>
      </w:tr>
      <w:tr>
        <w:trPr>
          <w:trHeight w:val="540"/>
        </w:trPr>
        <w:tc>
          <w:tcPr>
            <w:tcW w:w="10280" w:type="dxa"/>
            <w:vAlign w:val="bottom"/>
          </w:tcPr>
          <w:p>
            <w:pPr>
              <w:ind w:left="3760"/>
              <w:spacing w:after="0"/>
              <w:rPr>
                <w:sz w:val="20"/>
                <w:szCs w:val="20"/>
                <w:color w:val="auto"/>
              </w:rPr>
            </w:pPr>
            <w:r>
              <w:rPr>
                <w:rFonts w:ascii="Arial" w:cs="Arial" w:eastAsia="Arial" w:hAnsi="Arial"/>
                <w:sz w:val="16"/>
                <w:szCs w:val="16"/>
                <w:b w:val="1"/>
                <w:bCs w:val="1"/>
                <w:color w:val="auto"/>
              </w:rPr>
              <w:t>INDEX TO CONSOLIDATED FINANCIAL STATEMENTS</w:t>
            </w:r>
          </w:p>
        </w:tc>
        <w:tc>
          <w:tcPr>
            <w:tcW w:w="980" w:type="dxa"/>
            <w:vAlign w:val="bottom"/>
          </w:tcPr>
          <w:p>
            <w:pPr>
              <w:spacing w:after="0"/>
              <w:rPr>
                <w:sz w:val="24"/>
                <w:szCs w:val="24"/>
                <w:color w:val="auto"/>
              </w:rPr>
            </w:pPr>
          </w:p>
        </w:tc>
      </w:tr>
      <w:tr>
        <w:trPr>
          <w:trHeight w:val="473"/>
        </w:trPr>
        <w:tc>
          <w:tcPr>
            <w:tcW w:w="10280" w:type="dxa"/>
            <w:vAlign w:val="bottom"/>
          </w:tcPr>
          <w:p>
            <w:pPr>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Report of Independent Registered Public Accounting Firm</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F-2</w:t>
            </w:r>
          </w:p>
        </w:tc>
      </w:tr>
      <w:tr>
        <w:trPr>
          <w:trHeight w:val="432"/>
        </w:trPr>
        <w:tc>
          <w:tcPr>
            <w:tcW w:w="10280" w:type="dxa"/>
            <w:vAlign w:val="bottom"/>
          </w:tcPr>
          <w:p>
            <w:pPr>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Consolidated Balance Sheets as of December 31, 2020 and 2019</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F-3</w:t>
            </w:r>
          </w:p>
        </w:tc>
      </w:tr>
      <w:tr>
        <w:trPr>
          <w:trHeight w:val="432"/>
        </w:trPr>
        <w:tc>
          <w:tcPr>
            <w:tcW w:w="10280" w:type="dxa"/>
            <w:vAlign w:val="bottom"/>
          </w:tcPr>
          <w:p>
            <w:pPr>
              <w:spacing w:after="0"/>
              <w:rPr>
                <w:rFonts w:ascii="Arial" w:cs="Arial" w:eastAsia="Arial" w:hAnsi="Arial"/>
                <w:sz w:val="16"/>
                <w:szCs w:val="16"/>
                <w:u w:val="single" w:color="auto"/>
                <w:color w:val="0000EE"/>
              </w:rPr>
            </w:pPr>
            <w:hyperlink w:anchor="page57">
              <w:r>
                <w:rPr>
                  <w:rFonts w:ascii="Arial" w:cs="Arial" w:eastAsia="Arial" w:hAnsi="Arial"/>
                  <w:sz w:val="16"/>
                  <w:szCs w:val="16"/>
                  <w:u w:val="single" w:color="auto"/>
                  <w:color w:val="0000EE"/>
                </w:rPr>
                <w:t>Consolidated Statements of Operations for the Years ended December 31, 2020, 2019, and 2018</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F-4</w:t>
            </w:r>
          </w:p>
        </w:tc>
      </w:tr>
      <w:tr>
        <w:trPr>
          <w:trHeight w:val="432"/>
        </w:trPr>
        <w:tc>
          <w:tcPr>
            <w:tcW w:w="10280" w:type="dxa"/>
            <w:vAlign w:val="bottom"/>
          </w:tcPr>
          <w:p>
            <w:pPr>
              <w:spacing w:after="0"/>
              <w:rPr>
                <w:rFonts w:ascii="Arial" w:cs="Arial" w:eastAsia="Arial" w:hAnsi="Arial"/>
                <w:sz w:val="16"/>
                <w:szCs w:val="16"/>
                <w:u w:val="single" w:color="auto"/>
                <w:color w:val="0000EE"/>
              </w:rPr>
            </w:pPr>
            <w:hyperlink w:anchor="page58">
              <w:r>
                <w:rPr>
                  <w:rFonts w:ascii="Arial" w:cs="Arial" w:eastAsia="Arial" w:hAnsi="Arial"/>
                  <w:sz w:val="16"/>
                  <w:szCs w:val="16"/>
                  <w:u w:val="single" w:color="auto"/>
                  <w:color w:val="0000EE"/>
                </w:rPr>
                <w:t>Consolidated Statements of Comprehensive Loss for the Years ended December 31, 2020, 2019 and, 2018</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F-5</w:t>
            </w:r>
          </w:p>
        </w:tc>
      </w:tr>
      <w:tr>
        <w:trPr>
          <w:trHeight w:val="432"/>
        </w:trPr>
        <w:tc>
          <w:tcPr>
            <w:tcW w:w="10280" w:type="dxa"/>
            <w:vAlign w:val="bottom"/>
          </w:tcPr>
          <w:p>
            <w:pPr>
              <w:spacing w:after="0"/>
              <w:rPr>
                <w:rFonts w:ascii="Arial" w:cs="Arial" w:eastAsia="Arial" w:hAnsi="Arial"/>
                <w:sz w:val="16"/>
                <w:szCs w:val="16"/>
                <w:u w:val="single" w:color="auto"/>
                <w:color w:val="0000EE"/>
                <w:w w:val="98"/>
              </w:rPr>
            </w:pPr>
            <w:hyperlink w:anchor="page59">
              <w:r>
                <w:rPr>
                  <w:rFonts w:ascii="Arial" w:cs="Arial" w:eastAsia="Arial" w:hAnsi="Arial"/>
                  <w:sz w:val="16"/>
                  <w:szCs w:val="16"/>
                  <w:u w:val="single" w:color="auto"/>
                  <w:color w:val="0000EE"/>
                  <w:w w:val="98"/>
                </w:rPr>
                <w:t>Consolidated Statements of Convertible Preferred Stock and Stockholders' Equity (deficit) for the Years ended December 31, 2020, 2019 and, 2018</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F-6</w:t>
            </w:r>
          </w:p>
        </w:tc>
      </w:tr>
      <w:tr>
        <w:trPr>
          <w:trHeight w:val="432"/>
        </w:trPr>
        <w:tc>
          <w:tcPr>
            <w:tcW w:w="10280" w:type="dxa"/>
            <w:vAlign w:val="bottom"/>
          </w:tcPr>
          <w:p>
            <w:pPr>
              <w:spacing w:after="0"/>
              <w:rPr>
                <w:rFonts w:ascii="Arial" w:cs="Arial" w:eastAsia="Arial" w:hAnsi="Arial"/>
                <w:sz w:val="16"/>
                <w:szCs w:val="16"/>
                <w:u w:val="single" w:color="auto"/>
                <w:color w:val="0000EE"/>
              </w:rPr>
            </w:pPr>
            <w:hyperlink w:anchor="page60">
              <w:r>
                <w:rPr>
                  <w:rFonts w:ascii="Arial" w:cs="Arial" w:eastAsia="Arial" w:hAnsi="Arial"/>
                  <w:sz w:val="16"/>
                  <w:szCs w:val="16"/>
                  <w:u w:val="single" w:color="auto"/>
                  <w:color w:val="0000EE"/>
                </w:rPr>
                <w:t>Consolidated Statements of Cash Flows for the Years ended December 31, 2020, 2019, and 2018</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F-7</w:t>
            </w:r>
          </w:p>
        </w:tc>
      </w:tr>
      <w:tr>
        <w:trPr>
          <w:trHeight w:val="432"/>
        </w:trPr>
        <w:tc>
          <w:tcPr>
            <w:tcW w:w="10280" w:type="dxa"/>
            <w:vAlign w:val="bottom"/>
          </w:tcPr>
          <w:p>
            <w:pPr>
              <w:spacing w:after="0"/>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Notes to Consolidated Financial Statements</w:t>
              </w:r>
            </w:hyperlink>
          </w:p>
        </w:tc>
        <w:tc>
          <w:tcPr>
            <w:tcW w:w="980" w:type="dxa"/>
            <w:vAlign w:val="bottom"/>
          </w:tcPr>
          <w:p>
            <w:pPr>
              <w:ind w:left="720"/>
              <w:spacing w:after="0"/>
              <w:rPr>
                <w:sz w:val="20"/>
                <w:szCs w:val="20"/>
                <w:color w:val="auto"/>
              </w:rPr>
            </w:pPr>
            <w:r>
              <w:rPr>
                <w:rFonts w:ascii="Arial" w:cs="Arial" w:eastAsia="Arial" w:hAnsi="Arial"/>
                <w:sz w:val="16"/>
                <w:szCs w:val="16"/>
                <w:color w:val="auto"/>
                <w:w w:val="99"/>
              </w:rPr>
              <w:t>F-8</w:t>
            </w:r>
          </w:p>
        </w:tc>
      </w:tr>
      <w:tr>
        <w:trPr>
          <w:trHeight w:val="634"/>
        </w:trPr>
        <w:tc>
          <w:tcPr>
            <w:tcW w:w="10280" w:type="dxa"/>
            <w:vAlign w:val="bottom"/>
          </w:tcPr>
          <w:p>
            <w:pPr>
              <w:ind w:left="5520"/>
              <w:spacing w:after="0"/>
              <w:rPr>
                <w:sz w:val="20"/>
                <w:szCs w:val="20"/>
                <w:color w:val="auto"/>
              </w:rPr>
            </w:pPr>
            <w:r>
              <w:rPr>
                <w:rFonts w:ascii="Arial" w:cs="Arial" w:eastAsia="Arial" w:hAnsi="Arial"/>
                <w:sz w:val="16"/>
                <w:szCs w:val="16"/>
                <w:color w:val="auto"/>
              </w:rPr>
              <w:t>F-1</w:t>
            </w:r>
          </w:p>
        </w:tc>
        <w:tc>
          <w:tcPr>
            <w:tcW w:w="980" w:type="dxa"/>
            <w:vAlign w:val="bottom"/>
          </w:tcPr>
          <w:p>
            <w:pPr>
              <w:spacing w:after="0"/>
              <w:rPr>
                <w:sz w:val="24"/>
                <w:szCs w:val="24"/>
                <w:color w:val="auto"/>
              </w:rPr>
            </w:pPr>
          </w:p>
        </w:tc>
      </w:tr>
      <w:tr>
        <w:trPr>
          <w:trHeight w:val="121"/>
        </w:trPr>
        <w:tc>
          <w:tcPr>
            <w:tcW w:w="10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BigCommerce Holdings, Inc.</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333" w:lineRule="exact"/>
        <w:rPr>
          <w:sz w:val="20"/>
          <w:szCs w:val="20"/>
          <w:color w:val="auto"/>
        </w:rPr>
      </w:pPr>
    </w:p>
    <w:p>
      <w:pPr>
        <w:jc w:val="both"/>
        <w:ind w:firstLine="514"/>
        <w:spacing w:after="0" w:line="293" w:lineRule="auto"/>
        <w:rPr>
          <w:sz w:val="20"/>
          <w:szCs w:val="20"/>
          <w:color w:val="auto"/>
        </w:rPr>
      </w:pPr>
      <w:r>
        <w:rPr>
          <w:rFonts w:ascii="Arial" w:cs="Arial" w:eastAsia="Arial" w:hAnsi="Arial"/>
          <w:sz w:val="15"/>
          <w:szCs w:val="15"/>
          <w:color w:val="auto"/>
        </w:rPr>
        <w:t>We have audited the accompanying consolidated balance sheets of BigCommerce Holdings, Inc. (“the Company”) as of December 31, 2020 and 2019, the related consolidated statements of operations, comprehensive loss, convertible preferred stock and stockholders' equity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ASU no. 2016-02</w:t>
      </w:r>
    </w:p>
    <w:p>
      <w:pPr>
        <w:spacing w:after="0" w:line="131" w:lineRule="exact"/>
        <w:rPr>
          <w:sz w:val="20"/>
          <w:szCs w:val="20"/>
          <w:color w:val="auto"/>
        </w:rPr>
      </w:pPr>
    </w:p>
    <w:p>
      <w:pPr>
        <w:jc w:val="both"/>
        <w:ind w:right="20" w:firstLine="510"/>
        <w:spacing w:after="0" w:line="293" w:lineRule="auto"/>
        <w:rPr>
          <w:sz w:val="20"/>
          <w:szCs w:val="20"/>
          <w:color w:val="auto"/>
        </w:rPr>
      </w:pPr>
      <w:r>
        <w:rPr>
          <w:rFonts w:ascii="Arial" w:cs="Arial" w:eastAsia="Arial" w:hAnsi="Arial"/>
          <w:sz w:val="16"/>
          <w:szCs w:val="16"/>
          <w:color w:val="auto"/>
        </w:rPr>
        <w:t xml:space="preserve">As discussed in Note 6 to the consolidated financial statements, the Company changed its method of accounting for leases in 2019 due to the adoption of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333"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firstLine="510"/>
        <w:spacing w:after="0" w:line="324"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49"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served as the Company’s auditor since 2012.</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Austin, Texas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February 26, 2021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3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7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219,447</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Prepaid expenses and other assets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commissions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254,072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Right-of-use-asset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Deferred commissions, net of current portion</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7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276,626</w:t>
            </w:r>
          </w:p>
        </w:tc>
        <w:tc>
          <w:tcPr>
            <w:tcW w:w="160" w:type="dxa"/>
            <w:vAlign w:val="bottom"/>
          </w:tcPr>
          <w:p>
            <w:pPr>
              <w:spacing w:after="0"/>
              <w:rPr>
                <w:sz w:val="21"/>
                <w:szCs w:val="21"/>
                <w:color w:val="auto"/>
              </w:rPr>
            </w:pP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56,064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5,788</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operating lease liabilities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liabilities</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current liabilities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45,887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net of current portion</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Operating lease liabilities, net of current portion</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rPr>
              <w:t>Convertible preferred stock $0.0001 par value; 10,000 and 102,030 shares authorized at</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December 31, 2020 and December 31, 2019, respectively; 0 shares and 102,030 shares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issued and outstanding at December 31, 2020 and 2019, respectively.</w:t>
            </w: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Stockholders’ equity (deficit)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60" w:type="dxa"/>
            <w:vAlign w:val="bottom"/>
          </w:tcPr>
          <w:p>
            <w:pPr>
              <w:spacing w:after="0"/>
              <w:rPr>
                <w:sz w:val="20"/>
                <w:szCs w:val="20"/>
                <w:color w:val="auto"/>
              </w:rPr>
            </w:pPr>
            <w:r>
              <w:rPr>
                <w:rFonts w:ascii="Arial" w:cs="Arial" w:eastAsia="Arial" w:hAnsi="Arial"/>
                <w:sz w:val="16"/>
                <w:szCs w:val="16"/>
                <w:color w:val="auto"/>
              </w:rPr>
              <w:t>Common stock, $0.0001 par value; 500,000 shares Series 1 and, 5,051 shares Series 2</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authorized at December 31, 2020 and 200,000 shares voting and 30,000 shares of non-voting</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authorized at December 31, 2019; 65,406, and 18,544 shares Series 1 and voting issued and,</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outstanding at December 31, 2020 2020 and December 31, 2019, respectively, and</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6"/>
                <w:szCs w:val="16"/>
                <w:color w:val="auto"/>
              </w:rPr>
              <w:t>4,106 and 0 shares Series 2 and non-voting issued and, outstanding at December 31, 2020, and</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Arial" w:cs="Arial" w:eastAsia="Arial" w:hAnsi="Arial"/>
                <w:sz w:val="16"/>
                <w:szCs w:val="16"/>
                <w:color w:val="auto"/>
              </w:rPr>
              <w:t>December 31, 2019, respectively.</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530,143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60" w:type="dxa"/>
            <w:vAlign w:val="bottom"/>
          </w:tcPr>
          <w:p>
            <w:pPr>
              <w:spacing w:after="0"/>
              <w:rPr>
                <w:sz w:val="20"/>
                <w:szCs w:val="20"/>
                <w:color w:val="auto"/>
              </w:rPr>
            </w:pPr>
            <w:r>
              <w:rPr>
                <w:rFonts w:ascii="Arial" w:cs="Arial" w:eastAsia="Arial" w:hAnsi="Arial"/>
                <w:sz w:val="16"/>
                <w:szCs w:val="16"/>
                <w:color w:val="auto"/>
              </w:rPr>
              <w:t>Accumulated other comprehensive loss</w:t>
            </w: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6"/>
              </w:rPr>
              <w:t>(313,391)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(274,549)</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Total stockholders’ equity (deficit)</w:t>
            </w: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216,759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(257,303)</w:t>
            </w: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liabilities, convertible preferred stock, and stockholders’ equity (deficit)</w:t>
            </w: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276,626</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56,064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w w:val="88"/>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FF0FC"/>
          </w:tcPr>
          <w:p>
            <w:pPr>
              <w:jc w:val="right"/>
              <w:ind w:right="68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3"/>
              </w:rPr>
              <w:t>152,368</w:t>
            </w:r>
          </w:p>
        </w:tc>
        <w:tc>
          <w:tcPr>
            <w:tcW w:w="4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34,126</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27,023</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8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3"/>
              </w:rPr>
              <w:t>118,242</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85,080</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69,930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6"/>
                <w:szCs w:val="16"/>
                <w:color w:val="auto"/>
              </w:rPr>
              <w:t>Operating expenses:</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72,470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48,332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36,137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22,204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3"/>
              </w:rPr>
              <w:t>156,939</w:t>
            </w: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126,067</w:t>
            </w: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107,910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8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(38,697)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(40,987)</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(37,980)</w:t>
            </w: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Interest income</w:t>
            </w:r>
          </w:p>
        </w:tc>
        <w:tc>
          <w:tcPr>
            <w:tcW w:w="8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(1,612)</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Change in fair value of financial instruments</w:t>
            </w:r>
          </w:p>
        </w:tc>
        <w:tc>
          <w:tcPr>
            <w:tcW w:w="8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4,413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8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(208)</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500"/>
              <w:spacing w:after="0"/>
              <w:rPr>
                <w:sz w:val="20"/>
                <w:szCs w:val="20"/>
                <w:color w:val="auto"/>
              </w:rPr>
            </w:pPr>
            <w:r>
              <w:rPr>
                <w:rFonts w:ascii="Arial" w:cs="Arial" w:eastAsia="Arial" w:hAnsi="Arial"/>
                <w:sz w:val="16"/>
                <w:szCs w:val="16"/>
                <w:color w:val="auto"/>
              </w:rPr>
              <w:t>Loss before provision for income taxes</w:t>
            </w: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(37,535)</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(42,562)</w:t>
            </w:r>
          </w:p>
        </w:tc>
        <w:tc>
          <w:tcPr>
            <w:tcW w:w="3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(38,868)</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60" w:type="dxa"/>
            <w:vAlign w:val="bottom"/>
          </w:tcPr>
          <w:p>
            <w:pPr>
              <w:ind w:left="500"/>
              <w:spacing w:after="0"/>
              <w:rPr>
                <w:sz w:val="20"/>
                <w:szCs w:val="20"/>
                <w:color w:val="auto"/>
              </w:rPr>
            </w:pPr>
            <w:r>
              <w:rPr>
                <w:rFonts w:ascii="Arial" w:cs="Arial" w:eastAsia="Arial" w:hAnsi="Arial"/>
                <w:sz w:val="16"/>
                <w:szCs w:val="16"/>
                <w:color w:val="auto"/>
              </w:rPr>
              <w:t>Net loss</w:t>
            </w:r>
          </w:p>
        </w:tc>
        <w:tc>
          <w:tcPr>
            <w:tcW w:w="8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(37,560)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(42,590)</w:t>
            </w:r>
          </w:p>
        </w:tc>
        <w:tc>
          <w:tcPr>
            <w:tcW w:w="3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(38,878)</w:t>
            </w: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Cumulative dividends and accretion of issuance costs on Series F preferred stock</w:t>
            </w:r>
          </w:p>
        </w:tc>
        <w:tc>
          <w:tcPr>
            <w:tcW w:w="860" w:type="dxa"/>
            <w:vAlign w:val="bottom"/>
            <w:shd w:val="clear" w:color="auto" w:fill="CFF0FC"/>
          </w:tcPr>
          <w:p>
            <w:pPr>
              <w:jc w:val="right"/>
              <w:ind w:right="68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(7,308)</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6"/>
                <w:szCs w:val="16"/>
                <w:color w:val="auto"/>
              </w:rPr>
              <w:t>Net loss attributable to common stockholders</w:t>
            </w: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60" w:type="dxa"/>
            <w:vAlign w:val="bottom"/>
            <w:vMerge w:val="continue"/>
          </w:tcPr>
          <w:p>
            <w:pPr>
              <w:spacing w:after="0"/>
              <w:rPr>
                <w:sz w:val="19"/>
                <w:szCs w:val="19"/>
                <w:color w:val="auto"/>
              </w:rPr>
            </w:pP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(38,522)</w:t>
            </w:r>
          </w:p>
        </w:tc>
        <w:tc>
          <w:tcPr>
            <w:tcW w:w="14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(49,898)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(43,590)</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Basic and diluted net loss per share attributable to common stockholders</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shd w:val="clear" w:color="auto" w:fill="CFF0FC"/>
          </w:tcPr>
          <w:p>
            <w:pPr>
              <w:spacing w:after="0"/>
              <w:rPr>
                <w:sz w:val="17"/>
                <w:szCs w:val="17"/>
                <w:color w:val="auto"/>
              </w:rPr>
            </w:pPr>
          </w:p>
        </w:tc>
        <w:tc>
          <w:tcPr>
            <w:tcW w:w="860" w:type="dxa"/>
            <w:vAlign w:val="bottom"/>
            <w:shd w:val="clear" w:color="auto" w:fill="CFF0FC"/>
          </w:tcPr>
          <w:p>
            <w:pPr>
              <w:jc w:val="right"/>
              <w:ind w:right="68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(2.80)</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shares used to compute basic and diluted net loss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120"/>
              <w:spacing w:after="0"/>
              <w:rPr>
                <w:sz w:val="20"/>
                <w:szCs w:val="20"/>
                <w:color w:val="auto"/>
              </w:rPr>
            </w:pPr>
            <w:r>
              <w:rPr>
                <w:rFonts w:ascii="Arial" w:cs="Arial" w:eastAsia="Arial" w:hAnsi="Arial"/>
                <w:sz w:val="16"/>
                <w:szCs w:val="16"/>
                <w:color w:val="auto"/>
              </w:rPr>
              <w:t>per share attributable to common stockholders</w:t>
            </w: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39,092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w w:val="88"/>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FF0FC"/>
          </w:tcPr>
          <w:p>
            <w:pPr>
              <w:jc w:val="right"/>
              <w:ind w:right="705"/>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(37,560)</w:t>
            </w:r>
          </w:p>
        </w:tc>
        <w:tc>
          <w:tcPr>
            <w:tcW w:w="4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(42,590)</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(38,878)</w:t>
            </w: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Net unrealized gain (loss) on marketable debt securities</w:t>
            </w:r>
          </w:p>
        </w:tc>
        <w:tc>
          <w:tcPr>
            <w:tcW w:w="8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6"/>
                <w:szCs w:val="16"/>
                <w:color w:val="auto"/>
              </w:rPr>
              <w:t>Total comprehensive loss</w:t>
            </w:r>
          </w:p>
        </w:tc>
        <w:tc>
          <w:tcPr>
            <w:tcW w:w="8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560" w:type="dxa"/>
            <w:vAlign w:val="bottom"/>
            <w:vMerge w:val="continue"/>
          </w:tcPr>
          <w:p>
            <w:pPr>
              <w:spacing w:after="0"/>
              <w:rPr>
                <w:sz w:val="17"/>
                <w:szCs w:val="17"/>
                <w:color w:val="auto"/>
              </w:rPr>
            </w:pPr>
          </w:p>
        </w:tc>
        <w:tc>
          <w:tcPr>
            <w:tcW w:w="880" w:type="dxa"/>
            <w:vAlign w:val="bottom"/>
          </w:tcPr>
          <w:p>
            <w:pPr>
              <w:jc w:val="right"/>
              <w:ind w:right="705"/>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(37,560)</w:t>
            </w:r>
          </w:p>
        </w:tc>
        <w:tc>
          <w:tcPr>
            <w:tcW w:w="14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(42,576)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(38,892)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(in thousands)</w:t>
      </w:r>
    </w:p>
    <w:p>
      <w:pPr>
        <w:spacing w:after="0" w:line="248" w:lineRule="exact"/>
        <w:rPr>
          <w:sz w:val="20"/>
          <w:szCs w:val="20"/>
          <w:color w:val="auto"/>
        </w:rPr>
      </w:pPr>
    </w:p>
    <w:tbl>
      <w:tblPr>
        <w:tblLayout w:type="fixed"/>
        <w:tblInd w:w="312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840" w:type="dxa"/>
            <w:vAlign w:val="bottom"/>
          </w:tcPr>
          <w:p>
            <w:pPr>
              <w:spacing w:after="0"/>
              <w:rPr>
                <w:sz w:val="13"/>
                <w:szCs w:val="13"/>
                <w:color w:val="auto"/>
              </w:rPr>
            </w:pPr>
          </w:p>
        </w:tc>
      </w:tr>
      <w:tr>
        <w:trPr>
          <w:trHeight w:val="135"/>
        </w:trPr>
        <w:tc>
          <w:tcPr>
            <w:tcW w:w="560" w:type="dxa"/>
            <w:vAlign w:val="bottom"/>
          </w:tcPr>
          <w:p>
            <w:pPr>
              <w:spacing w:after="0"/>
              <w:rPr>
                <w:sz w:val="11"/>
                <w:szCs w:val="11"/>
                <w:color w:val="auto"/>
              </w:rPr>
            </w:pPr>
          </w:p>
        </w:tc>
        <w:tc>
          <w:tcPr>
            <w:tcW w:w="1520" w:type="dxa"/>
            <w:vAlign w:val="bottom"/>
            <w:gridSpan w:val="4"/>
          </w:tcPr>
          <w:p>
            <w:pPr>
              <w:jc w:val="center"/>
              <w:ind w:right="8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35"/>
        </w:trPr>
        <w:tc>
          <w:tcPr>
            <w:tcW w:w="560" w:type="dxa"/>
            <w:vAlign w:val="bottom"/>
          </w:tcPr>
          <w:p>
            <w:pPr>
              <w:spacing w:after="0"/>
              <w:rPr>
                <w:sz w:val="11"/>
                <w:szCs w:val="11"/>
                <w:color w:val="auto"/>
              </w:rPr>
            </w:pPr>
          </w:p>
        </w:tc>
        <w:tc>
          <w:tcPr>
            <w:tcW w:w="1520" w:type="dxa"/>
            <w:vAlign w:val="bottom"/>
            <w:gridSpan w:val="4"/>
          </w:tcPr>
          <w:p>
            <w:pPr>
              <w:jc w:val="center"/>
              <w:ind w:right="880"/>
              <w:spacing w:after="0" w:line="135" w:lineRule="exact"/>
              <w:rPr>
                <w:sz w:val="20"/>
                <w:szCs w:val="20"/>
                <w:color w:val="auto"/>
              </w:rPr>
            </w:pPr>
            <w:r>
              <w:rPr>
                <w:rFonts w:ascii="Arial" w:cs="Arial" w:eastAsia="Arial" w:hAnsi="Arial"/>
                <w:sz w:val="13"/>
                <w:szCs w:val="13"/>
                <w:b w:val="1"/>
                <w:bCs w:val="1"/>
                <w:color w:val="auto"/>
                <w:w w:val="91"/>
              </w:rPr>
              <w:t>preferred</w:t>
            </w:r>
          </w:p>
        </w:tc>
        <w:tc>
          <w:tcPr>
            <w:tcW w:w="640" w:type="dxa"/>
            <w:vAlign w:val="bottom"/>
          </w:tcPr>
          <w:p>
            <w:pPr>
              <w:spacing w:after="0"/>
              <w:rPr>
                <w:sz w:val="11"/>
                <w:szCs w:val="11"/>
                <w:color w:val="auto"/>
              </w:rPr>
            </w:pPr>
          </w:p>
        </w:tc>
        <w:tc>
          <w:tcPr>
            <w:tcW w:w="1180" w:type="dxa"/>
            <w:vAlign w:val="bottom"/>
            <w:gridSpan w:val="3"/>
          </w:tcPr>
          <w:p>
            <w:pPr>
              <w:jc w:val="center"/>
              <w:ind w:right="577"/>
              <w:spacing w:after="0" w:line="135" w:lineRule="exact"/>
              <w:rPr>
                <w:sz w:val="20"/>
                <w:szCs w:val="20"/>
                <w:color w:val="auto"/>
              </w:rPr>
            </w:pPr>
            <w:r>
              <w:rPr>
                <w:rFonts w:ascii="Arial" w:cs="Arial" w:eastAsia="Arial" w:hAnsi="Arial"/>
                <w:sz w:val="13"/>
                <w:szCs w:val="13"/>
                <w:b w:val="1"/>
                <w:bCs w:val="1"/>
                <w:color w:val="auto"/>
                <w:w w:val="84"/>
              </w:rPr>
              <w:t>Series 1</w:t>
            </w:r>
          </w:p>
        </w:tc>
        <w:tc>
          <w:tcPr>
            <w:tcW w:w="2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equity</w:t>
            </w:r>
          </w:p>
        </w:tc>
      </w:tr>
      <w:tr>
        <w:trPr>
          <w:trHeight w:val="153"/>
        </w:trPr>
        <w:tc>
          <w:tcPr>
            <w:tcW w:w="560" w:type="dxa"/>
            <w:vAlign w:val="bottom"/>
          </w:tcPr>
          <w:p>
            <w:pPr>
              <w:spacing w:after="0"/>
              <w:rPr>
                <w:sz w:val="13"/>
                <w:szCs w:val="13"/>
                <w:color w:val="auto"/>
              </w:rPr>
            </w:pPr>
          </w:p>
        </w:tc>
        <w:tc>
          <w:tcPr>
            <w:tcW w:w="1520" w:type="dxa"/>
            <w:vAlign w:val="bottom"/>
            <w:gridSpan w:val="4"/>
          </w:tcPr>
          <w:p>
            <w:pPr>
              <w:jc w:val="center"/>
              <w:ind w:right="880"/>
              <w:spacing w:after="0"/>
              <w:rPr>
                <w:sz w:val="20"/>
                <w:szCs w:val="20"/>
                <w:color w:val="auto"/>
              </w:rPr>
            </w:pPr>
            <w:r>
              <w:rPr>
                <w:rFonts w:ascii="Arial" w:cs="Arial" w:eastAsia="Arial" w:hAnsi="Arial"/>
                <w:sz w:val="13"/>
                <w:szCs w:val="13"/>
                <w:b w:val="1"/>
                <w:bCs w:val="1"/>
                <w:color w:val="auto"/>
                <w:w w:val="82"/>
              </w:rPr>
              <w:t>stock</w:t>
            </w:r>
          </w:p>
        </w:tc>
        <w:tc>
          <w:tcPr>
            <w:tcW w:w="18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common stock</w:t>
            </w:r>
          </w:p>
        </w:tc>
        <w:tc>
          <w:tcPr>
            <w:tcW w:w="2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deficit</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9"/>
              </w:rPr>
              <w:t>(deficit)</w:t>
            </w:r>
          </w:p>
        </w:tc>
      </w:tr>
      <w:tr>
        <w:trPr>
          <w:trHeight w:val="142"/>
        </w:trPr>
        <w:tc>
          <w:tcPr>
            <w:tcW w:w="56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3"/>
                <w:szCs w:val="13"/>
                <w:b w:val="1"/>
                <w:bCs w:val="1"/>
                <w:color w:val="auto"/>
                <w:w w:val="78"/>
              </w:rPr>
              <w:t>Shares</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3"/>
                <w:szCs w:val="13"/>
                <w:b w:val="1"/>
                <w:bCs w:val="1"/>
                <w:color w:val="auto"/>
                <w:w w:val="92"/>
              </w:rPr>
              <w:t>Shares</w:t>
            </w: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5494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32320" cy="549465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Balance at December 31, 2017</w:t>
            </w:r>
          </w:p>
        </w:tc>
        <w:tc>
          <w:tcPr>
            <w:tcW w:w="780" w:type="dxa"/>
            <w:vAlign w:val="bottom"/>
          </w:tcPr>
          <w:p>
            <w:pPr>
              <w:jc w:val="right"/>
              <w:spacing w:after="0"/>
              <w:rPr>
                <w:sz w:val="20"/>
                <w:szCs w:val="20"/>
                <w:color w:val="auto"/>
              </w:rPr>
            </w:pPr>
            <w:r>
              <w:rPr>
                <w:rFonts w:ascii="Arial" w:cs="Arial" w:eastAsia="Arial" w:hAnsi="Arial"/>
                <w:sz w:val="16"/>
                <w:szCs w:val="16"/>
                <w:color w:val="auto"/>
              </w:rPr>
              <w:t>78,402</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148,105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Adoption of ASC 606</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6"/>
                <w:szCs w:val="16"/>
                <w:color w:val="auto"/>
              </w:rPr>
              <w:t>Issuance of Series F preferred stock,</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120"/>
              <w:spacing w:after="0"/>
              <w:rPr>
                <w:sz w:val="20"/>
                <w:szCs w:val="20"/>
                <w:color w:val="auto"/>
              </w:rPr>
            </w:pPr>
            <w:r>
              <w:rPr>
                <w:rFonts w:ascii="Arial" w:cs="Arial" w:eastAsia="Arial" w:hAnsi="Arial"/>
                <w:sz w:val="16"/>
                <w:szCs w:val="16"/>
                <w:color w:val="auto"/>
              </w:rPr>
              <w:t>net of issuance costs</w:t>
            </w:r>
          </w:p>
        </w:tc>
        <w:tc>
          <w:tcPr>
            <w:tcW w:w="780" w:type="dxa"/>
            <w:vAlign w:val="bottom"/>
          </w:tcPr>
          <w:p>
            <w:pPr>
              <w:jc w:val="right"/>
              <w:spacing w:after="0"/>
              <w:rPr>
                <w:sz w:val="20"/>
                <w:szCs w:val="20"/>
                <w:color w:val="auto"/>
              </w:rPr>
            </w:pPr>
            <w:r>
              <w:rPr>
                <w:rFonts w:ascii="Arial" w:cs="Arial" w:eastAsia="Arial" w:hAnsi="Arial"/>
                <w:sz w:val="16"/>
                <w:szCs w:val="16"/>
                <w:color w:val="auto"/>
              </w:rPr>
              <w:t>23,628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63,629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Accumulated dividend—Series F</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Accretion of Series F issuance costs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Unrealized loss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102,030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Accumulated dividend—Series F</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Accretion of Series F issuance costs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Unrealized gain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102,030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vMerge w:val="continue"/>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Exercise of warrants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6"/>
                <w:szCs w:val="16"/>
                <w:color w:val="auto"/>
              </w:rPr>
              <w:t>Adoption of new accounting standard (See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Note 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6"/>
                <w:szCs w:val="16"/>
                <w:color w:val="auto"/>
                <w:w w:val="97"/>
              </w:rPr>
              <w:t>Issuance of common stock upon initial public</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rPr>
              <w:t>offering, net of underwriting discounts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commissions and other offerings costs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6"/>
                <w:szCs w:val="16"/>
                <w:color w:val="auto"/>
              </w:rPr>
              <w:t>Issuance of common stock upon secondary</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w w:val="99"/>
              </w:rPr>
              <w:t>public offering, net of underwriting discounts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and commissions and other offering costs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6"/>
                <w:szCs w:val="16"/>
                <w:color w:val="auto"/>
              </w:rPr>
              <w:t>Conversion of redeemable convertible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w w:val="99"/>
              </w:rPr>
              <w:t>preferred stock to common stock upon initial</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public offering</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(102,030)</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(211,902)</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6"/>
                <w:szCs w:val="16"/>
                <w:color w:val="auto"/>
                <w:w w:val="96"/>
              </w:rPr>
              <w:t>Conversion of redeemable convertible debt to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common stock upon initial public offering</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Accumulated dividend—Series F</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Payment of Series F dividend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(12,814)</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Accretion of Series F issuance costs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Warrants issued in connection with debt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jc w:val="right"/>
              <w:spacing w:after="0"/>
              <w:rPr>
                <w:sz w:val="20"/>
                <w:szCs w:val="20"/>
                <w:color w:val="auto"/>
              </w:rPr>
            </w:pPr>
            <w:r>
              <w:rPr>
                <w:rFonts w:ascii="Arial" w:cs="Arial" w:eastAsia="Arial" w:hAnsi="Arial"/>
                <w:sz w:val="16"/>
                <w:szCs w:val="16"/>
                <w:color w:val="auto"/>
              </w:rPr>
              <w:t>16,059</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10,633</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(182,349)</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(171,714)</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1,164</w:t>
            </w:r>
          </w:p>
        </w:tc>
        <w:tc>
          <w:tcPr>
            <w:tcW w:w="60" w:type="dxa"/>
            <w:vAlign w:val="bottom"/>
          </w:tcPr>
          <w:p>
            <w:pPr>
              <w:spacing w:after="0"/>
              <w:rPr>
                <w:sz w:val="18"/>
                <w:szCs w:val="18"/>
                <w:color w:val="auto"/>
              </w:rPr>
            </w:pPr>
          </w:p>
        </w:tc>
      </w:tr>
      <w:tr>
        <w:trPr>
          <w:trHeight w:val="419"/>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1,386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607</w:t>
            </w:r>
          </w:p>
        </w:tc>
        <w:tc>
          <w:tcPr>
            <w:tcW w:w="60" w:type="dxa"/>
            <w:vAlign w:val="bottom"/>
          </w:tcPr>
          <w:p>
            <w:pPr>
              <w:spacing w:after="0"/>
              <w:rPr>
                <w:sz w:val="18"/>
                <w:szCs w:val="18"/>
                <w:color w:val="auto"/>
              </w:rPr>
            </w:pP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2,071</w:t>
            </w:r>
          </w:p>
        </w:tc>
        <w:tc>
          <w:tcPr>
            <w:tcW w:w="60" w:type="dxa"/>
            <w:vAlign w:val="bottom"/>
          </w:tcPr>
          <w:p>
            <w:pPr>
              <w:spacing w:after="0"/>
              <w:rPr>
                <w:sz w:val="18"/>
                <w:szCs w:val="18"/>
                <w:color w:val="auto"/>
              </w:rPr>
            </w:pP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(4,662)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(4,662)</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(38,878)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(38,878)</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20" w:type="dxa"/>
            <w:vAlign w:val="bottom"/>
          </w:tcPr>
          <w:p>
            <w:pPr>
              <w:jc w:val="right"/>
              <w:spacing w:after="0"/>
              <w:rPr>
                <w:sz w:val="20"/>
                <w:szCs w:val="20"/>
                <w:color w:val="auto"/>
              </w:rPr>
            </w:pPr>
            <w:r>
              <w:rPr>
                <w:rFonts w:ascii="Arial" w:cs="Arial" w:eastAsia="Arial" w:hAnsi="Arial"/>
                <w:sz w:val="16"/>
                <w:szCs w:val="16"/>
                <w:color w:val="auto"/>
              </w:rPr>
              <w:t>17,445</w:t>
            </w:r>
          </w:p>
        </w:tc>
        <w:tc>
          <w:tcPr>
            <w:tcW w:w="20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13,261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(224,725)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(211,476)</w:t>
            </w: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1,099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901</w:t>
            </w:r>
          </w:p>
        </w:tc>
        <w:tc>
          <w:tcPr>
            <w:tcW w:w="60" w:type="dxa"/>
            <w:vAlign w:val="bottom"/>
          </w:tcPr>
          <w:p>
            <w:pPr>
              <w:spacing w:after="0"/>
              <w:rPr>
                <w:sz w:val="18"/>
                <w:szCs w:val="18"/>
                <w:color w:val="auto"/>
              </w:rPr>
            </w:pP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3,156</w:t>
            </w:r>
          </w:p>
        </w:tc>
        <w:tc>
          <w:tcPr>
            <w:tcW w:w="60" w:type="dxa"/>
            <w:vAlign w:val="bottom"/>
          </w:tcPr>
          <w:p>
            <w:pPr>
              <w:spacing w:after="0"/>
              <w:rPr>
                <w:sz w:val="18"/>
                <w:szCs w:val="18"/>
                <w:color w:val="auto"/>
              </w:rPr>
            </w:pP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(7,234)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(7,234)</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60" w:type="dxa"/>
            <w:vAlign w:val="bottom"/>
          </w:tcPr>
          <w:p>
            <w:pPr>
              <w:spacing w:after="0"/>
              <w:rPr>
                <w:sz w:val="18"/>
                <w:szCs w:val="18"/>
                <w:color w:val="auto"/>
              </w:rPr>
            </w:pPr>
          </w:p>
        </w:tc>
      </w:tr>
      <w:tr>
        <w:trPr>
          <w:trHeight w:val="219"/>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(42,590)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(42,590)</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820" w:type="dxa"/>
            <w:vAlign w:val="bottom"/>
          </w:tcPr>
          <w:p>
            <w:pPr>
              <w:jc w:val="right"/>
              <w:spacing w:after="0"/>
              <w:rPr>
                <w:sz w:val="20"/>
                <w:szCs w:val="20"/>
                <w:color w:val="auto"/>
              </w:rPr>
            </w:pPr>
            <w:r>
              <w:rPr>
                <w:rFonts w:ascii="Arial" w:cs="Arial" w:eastAsia="Arial" w:hAnsi="Arial"/>
                <w:sz w:val="16"/>
                <w:szCs w:val="16"/>
                <w:color w:val="auto"/>
              </w:rPr>
              <w:t>18,544</w:t>
            </w:r>
          </w:p>
        </w:tc>
        <w:tc>
          <w:tcPr>
            <w:tcW w:w="2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17,244</w:t>
            </w:r>
          </w:p>
        </w:tc>
        <w:tc>
          <w:tcPr>
            <w:tcW w:w="2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(274,549)</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(257,303)</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820" w:type="dxa"/>
            <w:vAlign w:val="bottom"/>
          </w:tcPr>
          <w:p>
            <w:pPr>
              <w:jc w:val="right"/>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3,151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3,151</w:t>
            </w:r>
          </w:p>
        </w:tc>
        <w:tc>
          <w:tcPr>
            <w:tcW w:w="60" w:type="dxa"/>
            <w:vAlign w:val="bottom"/>
          </w:tcPr>
          <w:p>
            <w:pPr>
              <w:spacing w:after="0"/>
              <w:rPr>
                <w:sz w:val="16"/>
                <w:szCs w:val="16"/>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60" w:type="dxa"/>
            <w:vAlign w:val="bottom"/>
          </w:tcPr>
          <w:p>
            <w:pPr>
              <w:spacing w:after="0"/>
              <w:rPr>
                <w:sz w:val="18"/>
                <w:szCs w:val="18"/>
                <w:color w:val="auto"/>
              </w:rPr>
            </w:pP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11,058</w:t>
            </w:r>
          </w:p>
        </w:tc>
        <w:tc>
          <w:tcPr>
            <w:tcW w:w="60" w:type="dxa"/>
            <w:vAlign w:val="bottom"/>
          </w:tcPr>
          <w:p>
            <w:pPr>
              <w:spacing w:after="0"/>
              <w:rPr>
                <w:sz w:val="18"/>
                <w:szCs w:val="18"/>
                <w:color w:val="auto"/>
              </w:rPr>
            </w:pPr>
          </w:p>
        </w:tc>
      </w:tr>
      <w:tr>
        <w:trPr>
          <w:trHeight w:val="418"/>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(364)</w:t>
            </w:r>
          </w:p>
        </w:tc>
      </w:tr>
      <w:tr>
        <w:trPr>
          <w:trHeight w:val="621"/>
        </w:trPr>
        <w:tc>
          <w:tcPr>
            <w:tcW w:w="820" w:type="dxa"/>
            <w:vAlign w:val="bottom"/>
          </w:tcPr>
          <w:p>
            <w:pPr>
              <w:jc w:val="right"/>
              <w:spacing w:after="0"/>
              <w:rPr>
                <w:sz w:val="20"/>
                <w:szCs w:val="20"/>
                <w:color w:val="auto"/>
              </w:rPr>
            </w:pPr>
            <w:r>
              <w:rPr>
                <w:rFonts w:ascii="Arial" w:cs="Arial" w:eastAsia="Arial" w:hAnsi="Arial"/>
                <w:sz w:val="16"/>
                <w:szCs w:val="16"/>
                <w:color w:val="auto"/>
              </w:rPr>
              <w:t>7,878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171,128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171,129</w:t>
            </w:r>
          </w:p>
        </w:tc>
        <w:tc>
          <w:tcPr>
            <w:tcW w:w="60" w:type="dxa"/>
            <w:vAlign w:val="bottom"/>
          </w:tcPr>
          <w:p>
            <w:pPr>
              <w:spacing w:after="0"/>
              <w:rPr>
                <w:sz w:val="24"/>
                <w:szCs w:val="24"/>
                <w:color w:val="auto"/>
              </w:rPr>
            </w:pPr>
          </w:p>
        </w:tc>
      </w:tr>
      <w:tr>
        <w:trPr>
          <w:trHeight w:val="621"/>
        </w:trPr>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65,112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65,112</w:t>
            </w:r>
          </w:p>
        </w:tc>
        <w:tc>
          <w:tcPr>
            <w:tcW w:w="60" w:type="dxa"/>
            <w:vAlign w:val="bottom"/>
          </w:tcPr>
          <w:p>
            <w:pPr>
              <w:spacing w:after="0"/>
              <w:rPr>
                <w:sz w:val="24"/>
                <w:szCs w:val="24"/>
                <w:color w:val="auto"/>
              </w:rPr>
            </w:pPr>
          </w:p>
        </w:tc>
      </w:tr>
      <w:tr>
        <w:trPr>
          <w:trHeight w:val="621"/>
        </w:trPr>
        <w:tc>
          <w:tcPr>
            <w:tcW w:w="820" w:type="dxa"/>
            <w:vAlign w:val="bottom"/>
          </w:tcPr>
          <w:p>
            <w:pPr>
              <w:jc w:val="right"/>
              <w:spacing w:after="0"/>
              <w:rPr>
                <w:sz w:val="20"/>
                <w:szCs w:val="20"/>
                <w:color w:val="auto"/>
              </w:rPr>
            </w:pPr>
            <w:r>
              <w:rPr>
                <w:rFonts w:ascii="Arial" w:cs="Arial" w:eastAsia="Arial" w:hAnsi="Arial"/>
                <w:sz w:val="16"/>
                <w:szCs w:val="16"/>
                <w:color w:val="auto"/>
              </w:rPr>
              <w:t>34,442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211,899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211,902</w:t>
            </w:r>
          </w:p>
        </w:tc>
        <w:tc>
          <w:tcPr>
            <w:tcW w:w="60" w:type="dxa"/>
            <w:vAlign w:val="bottom"/>
          </w:tcPr>
          <w:p>
            <w:pPr>
              <w:spacing w:after="0"/>
              <w:rPr>
                <w:sz w:val="24"/>
                <w:szCs w:val="24"/>
                <w:color w:val="auto"/>
              </w:rPr>
            </w:pPr>
          </w:p>
        </w:tc>
      </w:tr>
      <w:tr>
        <w:trPr>
          <w:trHeight w:val="419"/>
        </w:trPr>
        <w:tc>
          <w:tcPr>
            <w:tcW w:w="820" w:type="dxa"/>
            <w:vAlign w:val="bottom"/>
          </w:tcPr>
          <w:p>
            <w:pPr>
              <w:jc w:val="right"/>
              <w:spacing w:after="0"/>
              <w:rPr>
                <w:sz w:val="20"/>
                <w:szCs w:val="20"/>
                <w:color w:val="auto"/>
              </w:rPr>
            </w:pPr>
            <w:r>
              <w:rPr>
                <w:rFonts w:ascii="Arial" w:cs="Arial" w:eastAsia="Arial" w:hAnsi="Arial"/>
                <w:sz w:val="16"/>
                <w:szCs w:val="16"/>
                <w:color w:val="auto"/>
              </w:rPr>
              <w:t>5,250</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50,172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50,173</w:t>
            </w:r>
          </w:p>
        </w:tc>
        <w:tc>
          <w:tcPr>
            <w:tcW w:w="60" w:type="dxa"/>
            <w:vAlign w:val="bottom"/>
          </w:tcPr>
          <w:p>
            <w:pPr>
              <w:spacing w:after="0"/>
              <w:rPr>
                <w:sz w:val="24"/>
                <w:szCs w:val="24"/>
                <w:color w:val="auto"/>
              </w:rPr>
            </w:pP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(918)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(918)</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297</w:t>
            </w:r>
          </w:p>
        </w:tc>
        <w:tc>
          <w:tcPr>
            <w:tcW w:w="60" w:type="dxa"/>
            <w:vAlign w:val="bottom"/>
          </w:tcPr>
          <w:p>
            <w:pPr>
              <w:spacing w:after="0"/>
              <w:rPr>
                <w:sz w:val="18"/>
                <w:szCs w:val="18"/>
                <w:color w:val="auto"/>
              </w:rPr>
            </w:pPr>
          </w:p>
        </w:tc>
      </w:tr>
      <w:tr>
        <w:trPr>
          <w:trHeight w:val="219"/>
        </w:trPr>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(37,560)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(37,560)</w:t>
            </w:r>
          </w:p>
        </w:tc>
      </w:tr>
      <w:tr>
        <w:trPr>
          <w:trHeight w:val="20"/>
        </w:trPr>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20" w:type="dxa"/>
            <w:vAlign w:val="bottom"/>
          </w:tcPr>
          <w:p>
            <w:pPr>
              <w:jc w:val="right"/>
              <w:spacing w:after="0"/>
              <w:rPr>
                <w:sz w:val="20"/>
                <w:szCs w:val="20"/>
                <w:color w:val="auto"/>
              </w:rPr>
            </w:pPr>
            <w:r>
              <w:rPr>
                <w:rFonts w:ascii="Arial" w:cs="Arial" w:eastAsia="Arial" w:hAnsi="Arial"/>
                <w:sz w:val="16"/>
                <w:szCs w:val="16"/>
                <w:color w:val="auto"/>
              </w:rPr>
              <w:t>69,512</w:t>
            </w:r>
          </w:p>
        </w:tc>
        <w:tc>
          <w:tcPr>
            <w:tcW w:w="20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530,143</w:t>
            </w:r>
          </w:p>
        </w:tc>
        <w:tc>
          <w:tcPr>
            <w:tcW w:w="2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(313,391)</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216,759</w:t>
            </w:r>
          </w:p>
        </w:tc>
        <w:tc>
          <w:tcPr>
            <w:tcW w:w="60" w:type="dxa"/>
            <w:vAlign w:val="bottom"/>
          </w:tcPr>
          <w:p>
            <w:pPr>
              <w:spacing w:after="0"/>
              <w:rPr>
                <w:sz w:val="18"/>
                <w:szCs w:val="18"/>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60" w:space="240"/>
            <w:col w:w="5980"/>
          </w:cols>
          <w:pgMar w:left="320" w:top="126" w:right="399" w:bottom="1440" w:gutter="0" w:footer="0" w:header="0"/>
          <w:type w:val="continuous"/>
        </w:sectPr>
      </w:pPr>
    </w:p>
    <w:p>
      <w:pPr>
        <w:spacing w:after="0" w:line="33" w:lineRule="exact"/>
        <w:rPr>
          <w:sz w:val="20"/>
          <w:szCs w:val="20"/>
          <w:color w:val="auto"/>
        </w:rPr>
      </w:pPr>
    </w:p>
    <w:p>
      <w:pPr>
        <w:jc w:val="right"/>
        <w:ind w:right="546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0"/>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Net loss</w:t>
            </w:r>
          </w:p>
        </w:tc>
        <w:tc>
          <w:tcPr>
            <w:tcW w:w="4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(37,560)</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(42,590)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(38,878)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discount on debt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expected credit losses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60"/>
              <w:spacing w:after="0"/>
              <w:rPr>
                <w:sz w:val="20"/>
                <w:szCs w:val="20"/>
                <w:color w:val="auto"/>
              </w:rPr>
            </w:pPr>
            <w:r>
              <w:rPr>
                <w:rFonts w:ascii="Arial" w:cs="Arial" w:eastAsia="Arial" w:hAnsi="Arial"/>
                <w:sz w:val="16"/>
                <w:szCs w:val="16"/>
                <w:color w:val="auto"/>
              </w:rPr>
              <w:t>Accretion on discount to marketable securities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(69)</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financial instrument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(4,413)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(9,305)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(6,297)</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(2,704)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(1,786)</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commissions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(2,396)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(1,582)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and other current liabilities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(1,673)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(26,529)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(39,969)</w:t>
            </w:r>
          </w:p>
        </w:tc>
        <w:tc>
          <w:tcPr>
            <w:tcW w:w="3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(30,591)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Purchase of marketable securities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(33,566)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(5,579)</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Maturity of marketable securities</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23,450</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provided by investing activities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5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issuance of convertible preferred stock, net of issuance costs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560" w:type="dxa"/>
            <w:vAlign w:val="bottom"/>
          </w:tcPr>
          <w:p>
            <w:pPr>
              <w:spacing w:after="0"/>
              <w:rPr>
                <w:sz w:val="20"/>
                <w:szCs w:val="20"/>
                <w:color w:val="auto"/>
              </w:rPr>
            </w:pPr>
            <w:r>
              <w:rPr>
                <w:rFonts w:ascii="Arial" w:cs="Arial" w:eastAsia="Arial" w:hAnsi="Arial"/>
                <w:sz w:val="16"/>
                <w:szCs w:val="16"/>
                <w:color w:val="auto"/>
                <w:w w:val="94"/>
              </w:rPr>
              <w:t>Proceeds from issuance of common stock upon initial public offering, net of underwriting discounts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20"/>
                <w:szCs w:val="20"/>
                <w:color w:val="auto"/>
              </w:rPr>
            </w:pPr>
            <w:r>
              <w:rPr>
                <w:rFonts w:ascii="Arial" w:cs="Arial" w:eastAsia="Arial" w:hAnsi="Arial"/>
                <w:sz w:val="16"/>
                <w:szCs w:val="16"/>
                <w:color w:val="auto"/>
              </w:rPr>
              <w:t>and commissions and other offering costs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171,129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w w:val="95"/>
              </w:rPr>
              <w:t>Proceeds from issuance of common stock upon secondary offering, net of underwriting discounts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and commissions and other offerings costs</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65,112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Payment of Series F dividends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(12,814)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 and warrants</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Proceeds from debt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Repayment of debt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(28,617)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(2,050)</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239,950</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17,351</w:t>
            </w:r>
          </w:p>
        </w:tc>
        <w:tc>
          <w:tcPr>
            <w:tcW w:w="24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64,236</w:t>
            </w:r>
          </w:p>
        </w:tc>
        <w:tc>
          <w:tcPr>
            <w:tcW w:w="10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 and restricted cash</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211,457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(4,747)</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and restricted cash, beginning of period</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13,897</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restricted cash, end of period</w:t>
            </w: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220,607</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Cash paid for interest</w:t>
            </w:r>
          </w:p>
        </w:tc>
        <w:tc>
          <w:tcPr>
            <w:tcW w:w="40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Conversion of convertible preferred stock into common stock upon initial public offering</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211,902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6"/>
                <w:szCs w:val="16"/>
                <w:color w:val="auto"/>
              </w:rPr>
              <w:t>Conversion of convertible debt into common stock upon initial public offering</w:t>
            </w: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50,173</w:t>
            </w:r>
          </w:p>
        </w:tc>
        <w:tc>
          <w:tcPr>
            <w:tcW w:w="140" w:type="dxa"/>
            <w:vAlign w:val="bottom"/>
          </w:tcPr>
          <w:p>
            <w:pPr>
              <w:spacing w:after="0"/>
              <w:rPr>
                <w:sz w:val="16"/>
                <w:szCs w:val="16"/>
                <w:color w:val="auto"/>
              </w:rPr>
            </w:pP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6560" w:type="dxa"/>
            <w:vAlign w:val="bottom"/>
          </w:tcPr>
          <w:p>
            <w:pPr>
              <w:ind w:left="5520"/>
              <w:spacing w:after="0"/>
              <w:rPr>
                <w:sz w:val="20"/>
                <w:szCs w:val="20"/>
                <w:color w:val="auto"/>
              </w:rPr>
            </w:pPr>
            <w:r>
              <w:rPr>
                <w:rFonts w:ascii="Arial" w:cs="Arial" w:eastAsia="Arial" w:hAnsi="Arial"/>
                <w:sz w:val="16"/>
                <w:szCs w:val="16"/>
                <w:color w:val="auto"/>
              </w:rPr>
              <w:t>F-7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BigCommerce Holdings, Inc.</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Overview</w:t>
      </w:r>
    </w:p>
    <w:p>
      <w:pPr>
        <w:spacing w:after="0" w:line="131" w:lineRule="exact"/>
        <w:rPr>
          <w:sz w:val="20"/>
          <w:szCs w:val="20"/>
          <w:color w:val="auto"/>
        </w:rPr>
      </w:pPr>
    </w:p>
    <w:p>
      <w:pPr>
        <w:ind w:right="240" w:firstLine="510"/>
        <w:spacing w:after="0" w:line="278" w:lineRule="auto"/>
        <w:rPr>
          <w:sz w:val="20"/>
          <w:szCs w:val="20"/>
          <w:color w:val="auto"/>
        </w:rPr>
      </w:pPr>
      <w:r>
        <w:rPr>
          <w:rFonts w:ascii="Arial" w:cs="Arial" w:eastAsia="Arial" w:hAnsi="Arial"/>
          <w:sz w:val="16"/>
          <w:szCs w:val="16"/>
          <w:color w:val="auto"/>
        </w:rPr>
        <w:t>BigCommerce is leading a new era of ecommerce. Our software-as-a-service (“SaaS”) platform simplifies the creation of beautiful, engaging online stores by delivering a unique combination of ease-of-use, enterprise functionality, and flexibility. We power both our customers’ branded ecommerce stores and their cross-channel connections to popular online marketplaces, social networks, and offline point-of-sale systems.</w:t>
      </w:r>
    </w:p>
    <w:p>
      <w:pPr>
        <w:spacing w:after="0" w:line="184" w:lineRule="exact"/>
        <w:rPr>
          <w:sz w:val="20"/>
          <w:szCs w:val="20"/>
          <w:color w:val="auto"/>
        </w:rPr>
      </w:pPr>
    </w:p>
    <w:p>
      <w:pPr>
        <w:ind w:right="180" w:firstLine="510"/>
        <w:spacing w:after="0" w:line="318" w:lineRule="auto"/>
        <w:rPr>
          <w:sz w:val="20"/>
          <w:szCs w:val="20"/>
          <w:color w:val="auto"/>
        </w:rPr>
      </w:pPr>
      <w:r>
        <w:rPr>
          <w:rFonts w:ascii="Arial" w:cs="Arial" w:eastAsia="Arial" w:hAnsi="Arial"/>
          <w:sz w:val="14"/>
          <w:szCs w:val="14"/>
          <w:color w:val="auto"/>
        </w:rPr>
        <w:t>BigCommerce empowers businesses to turn digital transformation into a competitive advantage. We allow merchants to build their ecommerce solution their way with the freedom of choice that makes the most sense for their unique business and product offerings. We provide a comprehensive platform for launching and scaling an ecommerce operation, including store design, catalog management, hosting, checkout, order management, reporting, and pre-integration into third-party services like payments, shipping, and accounting. All our stores run on a single code base and share a global, multi-tenant architecture purpose built for security, high performance, and innovation. Our platform serves stores in a wide variety of sizes, product categories, and purchase types, including business-to-consumer and business-to-business.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headquarters and principal place of business are in Austin, Texas.</w:t>
      </w:r>
    </w:p>
    <w:p>
      <w:pPr>
        <w:spacing w:after="0" w:line="235"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We were formed in Australia in December 2003 under the name Interspire Pty Ltd and reorganized into a corporation in Delaware under the name BigCommerce Holdings, Inc. in February 2013.</w:t>
      </w:r>
    </w:p>
    <w:p>
      <w:pPr>
        <w:spacing w:after="0" w:line="2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References in these consolidated financial statements to “we,” “us,” “our,” the “Company,” or “BigCommerce” refer to BigCommerce Holdings, Inc. and its subsidiaries, unless otherwise stated.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split, initial public offering and secondary offering</w:t>
      </w:r>
    </w:p>
    <w:p>
      <w:pPr>
        <w:spacing w:after="0" w:line="200" w:lineRule="exact"/>
        <w:rPr>
          <w:sz w:val="20"/>
          <w:szCs w:val="20"/>
          <w:color w:val="auto"/>
        </w:rPr>
      </w:pPr>
    </w:p>
    <w:p>
      <w:pPr>
        <w:spacing w:after="0" w:line="363" w:lineRule="exact"/>
        <w:rPr>
          <w:sz w:val="20"/>
          <w:szCs w:val="20"/>
          <w:color w:val="auto"/>
        </w:rPr>
      </w:pPr>
    </w:p>
    <w:p>
      <w:pPr>
        <w:ind w:right="60" w:firstLine="510"/>
        <w:spacing w:after="0" w:line="291" w:lineRule="auto"/>
        <w:rPr>
          <w:sz w:val="20"/>
          <w:szCs w:val="20"/>
          <w:color w:val="auto"/>
        </w:rPr>
      </w:pPr>
      <w:r>
        <w:rPr>
          <w:rFonts w:ascii="Arial" w:cs="Arial" w:eastAsia="Arial" w:hAnsi="Arial"/>
          <w:sz w:val="15"/>
          <w:szCs w:val="15"/>
          <w:color w:val="auto"/>
        </w:rPr>
        <w:t>On July 24, 2020, we filed with the Secretary of State of the State of Delaware an amendment to our certificate of incorporation that effected a one-for-three reverse stock split of our common stock. All common stock share and per share information for all periods presented has been adjusted to reflect the reverse stock split. The amendment to our certificate of incorporation adjusted the amount of our authorized shares to: 205,000,000 shares of Series 1 common stock, 45,000,000 shares of Series 2 common stock, and 109,030,573 shares of preferred stock. The common stock has a par value of $0.0001 per share. On July 24, 2020, concurrently with the effectiveness of the reverse stock split, the conversion prices applicable to our preferred stock were adjusted proportionately in accordance with our certificate of incorporation. The Series 1 common stock and Series 2 common stock numbers referenced herein and included in this Annual Report on Form 10-K reflect this split.</w:t>
      </w:r>
    </w:p>
    <w:p>
      <w:pPr>
        <w:spacing w:after="0" w:line="176" w:lineRule="exact"/>
        <w:rPr>
          <w:sz w:val="20"/>
          <w:szCs w:val="20"/>
          <w:color w:val="auto"/>
        </w:rPr>
      </w:pPr>
    </w:p>
    <w:p>
      <w:pPr>
        <w:jc w:val="both"/>
        <w:ind w:right="300" w:firstLine="510"/>
        <w:spacing w:after="0" w:line="303" w:lineRule="auto"/>
        <w:rPr>
          <w:sz w:val="20"/>
          <w:szCs w:val="20"/>
          <w:color w:val="auto"/>
        </w:rPr>
      </w:pPr>
      <w:r>
        <w:rPr>
          <w:rFonts w:ascii="Arial" w:cs="Arial" w:eastAsia="Arial" w:hAnsi="Arial"/>
          <w:sz w:val="14"/>
          <w:szCs w:val="14"/>
          <w:color w:val="auto"/>
        </w:rPr>
        <w:t>On August 4, 2020, we completed our IPO, in which we issued and sold 7,877,500 shares of our Series 1 common stock, including 1,027,500 shares of Series 1 common stock that were sold pursuant to the exercise in full of the underwriters’ option to purchase additional shares of Series 1 common stock at $24.00 per share. The IPO resulted in net proceeds of $171.1 million after deducting underwriting discounts, commissions and other offering costs. Existing stockholders sold an</w:t>
      </w:r>
    </w:p>
    <w:p>
      <w:pPr>
        <w:spacing w:after="0" w:line="2"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additional 2,495,000 shares of Series 1 common stock, including 325,435 shares of Series 1 common stock that were sold pursuant to the exercise in full of the underwriters’ option to purchase additional shares of Series 1 common stock at $24.00 per share. We did not receive any proceeds from the sale of shares by the selling stockholders in the IPO.</w:t>
      </w:r>
    </w:p>
    <w:p>
      <w:pPr>
        <w:spacing w:after="0" w:line="200" w:lineRule="exact"/>
        <w:rPr>
          <w:sz w:val="20"/>
          <w:szCs w:val="20"/>
          <w:color w:val="auto"/>
        </w:rPr>
      </w:pPr>
    </w:p>
    <w:p>
      <w:pPr>
        <w:spacing w:after="0" w:line="336"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On November 12, 2020, we completed our Secondary Offering, in which we issued and sold 1,000,000 shares of our Series 1 common stock at $68.00 per share. The Secondary Offering resulted in net proceeds of $65.1 million after deducting underwriting discounts, commissions and other offering costs. Existing stockholders sold an additional 4,750,000 shares of Series 1 common stock, including 750,000 shares of Series 1 common stock that were sold pursuant to the exercise in full of the underwriters’ option to purchase additional shares of Series 1 common stock at $68.00 per share. We did not receive any proceeds from the sale of shares by the selling stockholders in the Secondary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20" w:firstLine="8"/>
        <w:spacing w:after="0" w:line="407" w:lineRule="auto"/>
        <w:tabs>
          <w:tab w:leader="none" w:pos="16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ind w:right="480" w:firstLine="510"/>
        <w:spacing w:after="0" w:line="293"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consolidation</w:t>
      </w:r>
    </w:p>
    <w:p>
      <w:pPr>
        <w:spacing w:after="0" w:line="13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The accompanying consolidated financial statements include our accounts and the accounts of our wholly-owned subsidiaries. All material intercompany accounts and transactions have been eliminated in consolidation. Our fiscal year ends on December 31.</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31" w:lineRule="exact"/>
        <w:rPr>
          <w:sz w:val="20"/>
          <w:szCs w:val="20"/>
          <w:color w:val="auto"/>
        </w:rPr>
      </w:pPr>
    </w:p>
    <w:p>
      <w:pPr>
        <w:ind w:right="60" w:firstLine="510"/>
        <w:spacing w:after="0" w:line="322" w:lineRule="auto"/>
        <w:rPr>
          <w:sz w:val="20"/>
          <w:szCs w:val="20"/>
          <w:color w:val="auto"/>
        </w:rPr>
      </w:pPr>
      <w:r>
        <w:rPr>
          <w:rFonts w:ascii="Arial" w:cs="Arial" w:eastAsia="Arial" w:hAnsi="Arial"/>
          <w:sz w:val="14"/>
          <w:szCs w:val="14"/>
          <w:color w:val="auto"/>
        </w:rPr>
        <w:t>The preparation of consolidated financial statements in conformity with GAAP requires certain financial instruments to be recorded at fair value; requires our management to make estimates and assumptions that affect the reported amounts of assets and liabilities and disclosure of contingent assets and liabilities at the date of the consolidated financial statements and reported amounts of revenue and expenses during the reporting periods. Significant estimates, judgments, and assumptions in these</w:t>
      </w:r>
    </w:p>
    <w:p>
      <w:pPr>
        <w:jc w:val="both"/>
        <w:ind w:right="180"/>
        <w:spacing w:after="0" w:line="297" w:lineRule="auto"/>
        <w:rPr>
          <w:sz w:val="20"/>
          <w:szCs w:val="20"/>
          <w:color w:val="auto"/>
        </w:rPr>
      </w:pPr>
      <w:r>
        <w:rPr>
          <w:rFonts w:ascii="Arial" w:cs="Arial" w:eastAsia="Arial" w:hAnsi="Arial"/>
          <w:sz w:val="15"/>
          <w:szCs w:val="15"/>
          <w:color w:val="auto"/>
        </w:rPr>
        <w:t>consolidated financial statements include: allocating variable consideration for revenue recognition; the amortization period for deferred commissions; the allowance for credit losses; a determination of the deferred tax asset valuation allowance and the valuation of our common stock used to determine stock-based compensation expense prior to our IPO. Because of the use of estimates inherent in the financial reporting process and given the additional or unforeseen effects from the COVID-19 pandemic, actual results could differ from those estimates, and such differences could be material to our consolidated financial statements.</w:t>
      </w:r>
    </w:p>
    <w:p>
      <w:pPr>
        <w:spacing w:after="0" w:line="172" w:lineRule="exact"/>
        <w:rPr>
          <w:sz w:val="20"/>
          <w:szCs w:val="20"/>
          <w:color w:val="auto"/>
        </w:rPr>
      </w:pPr>
    </w:p>
    <w:p>
      <w:pPr>
        <w:ind w:right="20" w:firstLine="510"/>
        <w:spacing w:after="0" w:line="318" w:lineRule="auto"/>
        <w:rPr>
          <w:sz w:val="20"/>
          <w:szCs w:val="20"/>
          <w:color w:val="auto"/>
        </w:rPr>
      </w:pPr>
      <w:r>
        <w:rPr>
          <w:rFonts w:ascii="Arial" w:cs="Arial" w:eastAsia="Arial" w:hAnsi="Arial"/>
          <w:sz w:val="14"/>
          <w:szCs w:val="14"/>
          <w:color w:val="auto"/>
        </w:rPr>
        <w:t>COVID-19, declared a global pandemic by the World Health Organization on March 11, 2020, has caused disruption to the economies and communities of the United States and our target international markets. In the interest of public health, many governments closed physical stores and places of business deemed non-essential. This precipitated a significant shift in shopping behavior from offline to online. Our business has benefited from this shift, both in accelerated sales growth for our existing customers’ stores, and in our sales of new store subscriptions to customers. Nevertheless, we do not have certainty that those trends will continue; the COVID-19 pandemic and the uncertainty it has created in the global economy could materially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131"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Our chief operating decision maker is our chief executive officer. Our chief executive officer reviews the financial information presented on a consolidated basis for purposes of making operating decisions, allocating resources, and evaluating financial performance. Accordingly, we have determined that we operate as a single operating and reportable segment. Revenue by geographic region was as follows:</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3"/>
                <w:szCs w:val="13"/>
                <w:b w:val="1"/>
                <w:bCs w:val="1"/>
                <w:color w:val="auto"/>
                <w:w w:val="85"/>
              </w:rPr>
              <w:t>Year ended December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20" w:type="dxa"/>
            <w:vAlign w:val="bottom"/>
            <w:gridSpan w:val="3"/>
          </w:tcPr>
          <w:p>
            <w:pPr>
              <w:ind w:left="620"/>
              <w:spacing w:after="0" w:line="142" w:lineRule="exact"/>
              <w:rPr>
                <w:sz w:val="20"/>
                <w:szCs w:val="20"/>
                <w:color w:val="auto"/>
              </w:rPr>
            </w:pPr>
            <w:r>
              <w:rPr>
                <w:rFonts w:ascii="Arial" w:cs="Arial" w:eastAsia="Arial" w:hAnsi="Arial"/>
                <w:sz w:val="13"/>
                <w:szCs w:val="13"/>
                <w:i w:val="1"/>
                <w:iCs w:val="1"/>
                <w:color w:val="auto"/>
              </w:rPr>
              <w:t>(in thousands)</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00"/>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Revenue:</w:t>
            </w:r>
          </w:p>
        </w:tc>
        <w:tc>
          <w:tcPr>
            <w:tcW w:w="1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100" w:type="dxa"/>
            <w:vAlign w:val="bottom"/>
            <w:gridSpan w:val="2"/>
          </w:tcPr>
          <w:p>
            <w:pPr>
              <w:ind w:left="240"/>
              <w:spacing w:after="0"/>
              <w:rPr>
                <w:sz w:val="20"/>
                <w:szCs w:val="20"/>
                <w:color w:val="auto"/>
              </w:rPr>
            </w:pPr>
            <w:r>
              <w:rPr>
                <w:rFonts w:ascii="Arial" w:cs="Arial" w:eastAsia="Arial" w:hAnsi="Arial"/>
                <w:sz w:val="16"/>
                <w:szCs w:val="16"/>
                <w:color w:val="auto"/>
              </w:rPr>
              <w:t>Americas—U.S.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120,934</w:t>
            </w:r>
          </w:p>
        </w:tc>
        <w:tc>
          <w:tcPr>
            <w:tcW w:w="680" w:type="dxa"/>
            <w:vAlign w:val="bottom"/>
            <w:gridSpan w:val="3"/>
          </w:tcPr>
          <w:p>
            <w:pPr>
              <w:jc w:val="right"/>
              <w:ind w:right="29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91,057</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75,025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1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Americas—other</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3,761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100" w:type="dxa"/>
            <w:vAlign w:val="bottom"/>
            <w:gridSpan w:val="2"/>
          </w:tcPr>
          <w:p>
            <w:pPr>
              <w:ind w:left="240"/>
              <w:spacing w:after="0"/>
              <w:rPr>
                <w:sz w:val="20"/>
                <w:szCs w:val="20"/>
                <w:color w:val="auto"/>
              </w:rPr>
            </w:pPr>
            <w:r>
              <w:rPr>
                <w:rFonts w:ascii="Arial" w:cs="Arial" w:eastAsia="Arial" w:hAnsi="Arial"/>
                <w:sz w:val="16"/>
                <w:szCs w:val="16"/>
                <w:color w:val="auto"/>
              </w:rPr>
              <w:t>EMEA</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7,370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6,123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1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APAC</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9,915</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4100" w:type="dxa"/>
            <w:vAlign w:val="bottom"/>
            <w:gridSpan w:val="2"/>
          </w:tcPr>
          <w:p>
            <w:pPr>
              <w:ind w:left="480"/>
              <w:spacing w:after="0"/>
              <w:rPr>
                <w:sz w:val="20"/>
                <w:szCs w:val="20"/>
                <w:color w:val="auto"/>
              </w:rPr>
            </w:pPr>
            <w:r>
              <w:rPr>
                <w:rFonts w:ascii="Arial" w:cs="Arial" w:eastAsia="Arial" w:hAnsi="Arial"/>
                <w:sz w:val="16"/>
                <w:szCs w:val="16"/>
                <w:color w:val="auto"/>
              </w:rPr>
              <w:t>Total revenue</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152,368</w:t>
            </w:r>
          </w:p>
        </w:tc>
        <w:tc>
          <w:tcPr>
            <w:tcW w:w="680" w:type="dxa"/>
            <w:vAlign w:val="bottom"/>
            <w:gridSpan w:val="3"/>
          </w:tcPr>
          <w:p>
            <w:pPr>
              <w:jc w:val="right"/>
              <w:ind w:right="29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112,103</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91,867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6"/>
                <w:szCs w:val="16"/>
                <w:color w:val="auto"/>
              </w:rPr>
              <w:t>Long-lived assets by geographic region was as follows:</w:t>
            </w: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w w:val="90"/>
              </w:rPr>
              <w:t>Year ended 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100" w:type="dxa"/>
            <w:vAlign w:val="bottom"/>
            <w:gridSpan w:val="2"/>
          </w:tcPr>
          <w:p>
            <w:pPr>
              <w:ind w:left="560"/>
              <w:spacing w:after="0" w:line="142" w:lineRule="exact"/>
              <w:rPr>
                <w:sz w:val="20"/>
                <w:szCs w:val="20"/>
                <w:color w:val="auto"/>
              </w:rPr>
            </w:pPr>
            <w:r>
              <w:rPr>
                <w:rFonts w:ascii="Arial" w:cs="Arial" w:eastAsia="Arial" w:hAnsi="Arial"/>
                <w:sz w:val="13"/>
                <w:szCs w:val="13"/>
                <w:i w:val="1"/>
                <w:iCs w:val="1"/>
                <w:color w:val="auto"/>
              </w:rPr>
              <w:t>(in thousands)</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3"/>
          </w:tcPr>
          <w:p>
            <w:pPr>
              <w:jc w:val="right"/>
              <w:ind w:right="339"/>
              <w:spacing w:after="0" w:line="142" w:lineRule="exact"/>
              <w:rPr>
                <w:sz w:val="20"/>
                <w:szCs w:val="20"/>
                <w:color w:val="auto"/>
              </w:rPr>
            </w:pPr>
            <w:r>
              <w:rPr>
                <w:rFonts w:ascii="Arial" w:cs="Arial" w:eastAsia="Arial" w:hAnsi="Arial"/>
                <w:sz w:val="13"/>
                <w:szCs w:val="13"/>
                <w:b w:val="1"/>
                <w:bCs w:val="1"/>
                <w:color w:val="auto"/>
                <w:w w:val="82"/>
              </w:rPr>
              <w:t>2020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w w:val="89"/>
              </w:rPr>
              <w:t>2019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Long-lived assets:</w:t>
            </w:r>
          </w:p>
        </w:tc>
        <w:tc>
          <w:tcPr>
            <w:tcW w:w="1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auto"/>
              </w:rPr>
              <w:t>Americas—U.S.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6,596</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7,699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Americas—other</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6"/>
                <w:szCs w:val="16"/>
                <w:color w:val="auto"/>
              </w:rPr>
              <w:t>EMEA</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APAC</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540" w:type="dxa"/>
            <w:vAlign w:val="bottom"/>
          </w:tcPr>
          <w:p>
            <w:pPr>
              <w:ind w:left="480"/>
              <w:spacing w:after="0"/>
              <w:rPr>
                <w:sz w:val="20"/>
                <w:szCs w:val="20"/>
                <w:color w:val="auto"/>
              </w:rPr>
            </w:pPr>
            <w:r>
              <w:rPr>
                <w:rFonts w:ascii="Arial" w:cs="Arial" w:eastAsia="Arial" w:hAnsi="Arial"/>
                <w:sz w:val="16"/>
                <w:szCs w:val="16"/>
                <w:color w:val="auto"/>
              </w:rPr>
              <w:t>Total long-lived assets</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7,122</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8,241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3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consider all highly liquid investments with original maturities of three months or less from the date of purchase to be cash equivalents. Cash equivalents consist of money market funds and investment securities and are stated at fair value.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maintain a portion of amounts collected through our online payment processor with the online payment processor as a security deposit for future chargebacks.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have amounts on deposit with certain financial institutions that serve as collateral for letters of credit and lease deposits.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13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6"/>
          <w:szCs w:val="16"/>
          <w:color w:val="auto"/>
        </w:rPr>
        <w:t>Accounts receivable are stated at net of provision for expected credit losses and include unbilled receivables. Unbilled receivables arise primarily when we provide subscriptions services in advance of billing. Accounts receivable are net of an allowance for credit losses, are not collateralized, and do not bear interest. Payment terms range from due immediately to due within 90 days. The accounts receivable balance at December 31, 2020 and December 31, 2019 included unbilled receivables of $7.5 million and $4.0 million, respectively.</w:t>
      </w:r>
    </w:p>
    <w:p>
      <w:pPr>
        <w:spacing w:after="0" w:line="189" w:lineRule="exact"/>
        <w:rPr>
          <w:sz w:val="20"/>
          <w:szCs w:val="20"/>
          <w:color w:val="auto"/>
        </w:rPr>
      </w:pPr>
    </w:p>
    <w:p>
      <w:pPr>
        <w:ind w:firstLine="510"/>
        <w:spacing w:after="0" w:line="291" w:lineRule="auto"/>
        <w:rPr>
          <w:sz w:val="20"/>
          <w:szCs w:val="20"/>
          <w:color w:val="auto"/>
        </w:rPr>
      </w:pPr>
      <w:r>
        <w:rPr>
          <w:rFonts w:ascii="Arial" w:cs="Arial" w:eastAsia="Arial" w:hAnsi="Arial"/>
          <w:sz w:val="15"/>
          <w:szCs w:val="15"/>
          <w:color w:val="auto"/>
        </w:rPr>
        <w:t>We assess the collectability of outstanding accounts receivable on an ongoing basis and maintain an allowance for credit losses for accounts receivable deemed uncollectable. Upon adoption of ASU 2016-13, we analyzed the accounts receivable portfolio for significant risks, historical activity, and an estimate of future collectability to determine the amount that will ultimately be collected. This estimate is analyzed quarterly and adjusted as necessary. Identified risks pertaining to our accounts receivable include the delinquency level, customer type, and current economic environment. Due to the short-term nature of such receivables, the estimate of the amount of accounts receivable that may not be collected is based on aging of the accounts receivable balances and the financial condition of customers. Adoption of ASU 2016-13 resulted in an increase in the allowance for credit losses of approximately $0.4 million as of January 1, 2020, primarily related to unbilled receivables.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allowance for credit losses consisted of the following:</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552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6"/>
                <w:szCs w:val="16"/>
                <w:color w:val="auto"/>
              </w:rPr>
              <w:t>Balance at December 31, 2017</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376</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Provision for expected credit losses</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Accounts written off</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r>
      <w:tr>
        <w:trPr>
          <w:trHeight w:val="21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597</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Provision for expected credit losses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988</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written off</w:t>
            </w:r>
          </w:p>
        </w:tc>
        <w:tc>
          <w:tcPr>
            <w:tcW w:w="4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(418)</w:t>
            </w:r>
          </w:p>
        </w:tc>
      </w:tr>
      <w:tr>
        <w:trPr>
          <w:trHeight w:val="207"/>
        </w:trPr>
        <w:tc>
          <w:tcPr>
            <w:tcW w:w="552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400" w:type="dxa"/>
            <w:vAlign w:val="bottom"/>
            <w:tcBorders>
              <w:top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60" w:type="dxa"/>
            <w:vAlign w:val="bottom"/>
          </w:tcPr>
          <w:p>
            <w:pPr>
              <w:spacing w:after="0"/>
              <w:rPr>
                <w:sz w:val="17"/>
                <w:szCs w:val="17"/>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Cumulative effect adjustment upon adoption</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Provision for expected credit losses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1,594</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written off</w:t>
            </w:r>
          </w:p>
        </w:tc>
        <w:tc>
          <w:tcPr>
            <w:tcW w:w="4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(1,133)</w:t>
            </w:r>
          </w:p>
        </w:tc>
      </w:tr>
      <w:tr>
        <w:trPr>
          <w:trHeight w:val="207"/>
        </w:trPr>
        <w:tc>
          <w:tcPr>
            <w:tcW w:w="5520" w:type="dxa"/>
            <w:vAlign w:val="bottom"/>
          </w:tcPr>
          <w:p>
            <w:pPr>
              <w:spacing w:after="0"/>
              <w:rPr>
                <w:sz w:val="20"/>
                <w:szCs w:val="20"/>
                <w:color w:val="auto"/>
              </w:rPr>
            </w:pPr>
            <w:r>
              <w:rPr>
                <w:rFonts w:ascii="Arial" w:cs="Arial" w:eastAsia="Arial" w:hAnsi="Arial"/>
                <w:sz w:val="16"/>
                <w:szCs w:val="16"/>
                <w:color w:val="auto"/>
              </w:rPr>
              <w:t>Balance at December 31, 2020</w:t>
            </w: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6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131" w:lineRule="exact"/>
        <w:rPr>
          <w:sz w:val="20"/>
          <w:szCs w:val="20"/>
          <w:color w:val="auto"/>
        </w:rPr>
      </w:pPr>
    </w:p>
    <w:p>
      <w:pPr>
        <w:ind w:right="300" w:firstLine="510"/>
        <w:spacing w:after="0" w:line="293"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are computed using the straight-line method over the estimated useful lives or the related lease terms (if shorter).</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estimated useful lives of property and equipment are as follows: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6"/>
              </w:rPr>
              <w:t>Estimated</w:t>
            </w:r>
          </w:p>
        </w:tc>
      </w:tr>
      <w:tr>
        <w:trPr>
          <w:trHeight w:val="153"/>
        </w:trPr>
        <w:tc>
          <w:tcPr>
            <w:tcW w:w="55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useful life</w:t>
            </w: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3 years</w:t>
            </w:r>
          </w:p>
        </w:tc>
      </w:tr>
      <w:tr>
        <w:trPr>
          <w:trHeight w:val="213"/>
        </w:trPr>
        <w:tc>
          <w:tcPr>
            <w:tcW w:w="5560" w:type="dxa"/>
            <w:vAlign w:val="bottom"/>
          </w:tcPr>
          <w:p>
            <w:pPr>
              <w:spacing w:after="0"/>
              <w:rPr>
                <w:sz w:val="20"/>
                <w:szCs w:val="20"/>
                <w:color w:val="auto"/>
              </w:rPr>
            </w:pPr>
            <w:r>
              <w:rPr>
                <w:rFonts w:ascii="Arial" w:cs="Arial" w:eastAsia="Arial" w:hAnsi="Arial"/>
                <w:sz w:val="16"/>
                <w:szCs w:val="16"/>
                <w:color w:val="auto"/>
              </w:rPr>
              <w:t>Computer software</w:t>
            </w: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3 years</w:t>
            </w:r>
          </w:p>
        </w:tc>
      </w:tr>
      <w:tr>
        <w:trPr>
          <w:trHeight w:val="21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5 years</w:t>
            </w:r>
          </w:p>
        </w:tc>
      </w:tr>
      <w:tr>
        <w:trPr>
          <w:trHeight w:val="210"/>
        </w:trPr>
        <w:tc>
          <w:tcPr>
            <w:tcW w:w="55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1-10 years</w:t>
            </w:r>
          </w:p>
        </w:tc>
      </w:tr>
    </w:tbl>
    <w:p>
      <w:pPr>
        <w:spacing w:after="0" w:line="2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Maintenance and repairs that do not enhance or extend the asset’s useful life are charged to operating expenses as incurred.</w:t>
      </w:r>
    </w:p>
    <w:p>
      <w:pPr>
        <w:spacing w:after="0" w:line="235" w:lineRule="exact"/>
        <w:rPr>
          <w:sz w:val="20"/>
          <w:szCs w:val="20"/>
          <w:color w:val="auto"/>
        </w:rPr>
      </w:pPr>
    </w:p>
    <w:p>
      <w:pPr>
        <w:ind w:right="20" w:firstLine="510"/>
        <w:spacing w:after="0" w:line="297" w:lineRule="auto"/>
        <w:rPr>
          <w:sz w:val="20"/>
          <w:szCs w:val="20"/>
          <w:color w:val="auto"/>
        </w:rPr>
      </w:pPr>
      <w:r>
        <w:rPr>
          <w:rFonts w:ascii="Arial" w:cs="Arial" w:eastAsia="Arial" w:hAnsi="Arial"/>
          <w:sz w:val="15"/>
          <w:szCs w:val="15"/>
          <w:color w:val="auto"/>
        </w:rPr>
        <w:t>The carrying values of property and equipment are reviewed for impairment whenever events or changes in circumstances indicate that their net book value may not be recoverable. When such factors and circumstances exist, we compare the projected undiscounted future cash flows associated with groups of assets used in combination over their estimated useful lives against their respective carrying amounts. If projected undiscounted future cash flows are less than the carrying value of the asset group, impairment is recorded for any excess of the carrying amount over the fair value of those assets in the period in which the determination is made.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and internal use software</w:t>
      </w:r>
    </w:p>
    <w:p>
      <w:pPr>
        <w:spacing w:after="0" w:line="131" w:lineRule="exact"/>
        <w:rPr>
          <w:sz w:val="20"/>
          <w:szCs w:val="20"/>
          <w:color w:val="auto"/>
        </w:rPr>
      </w:pPr>
    </w:p>
    <w:p>
      <w:pPr>
        <w:jc w:val="both"/>
        <w:ind w:right="140" w:firstLine="510"/>
        <w:spacing w:after="0" w:line="278" w:lineRule="auto"/>
        <w:rPr>
          <w:sz w:val="20"/>
          <w:szCs w:val="20"/>
          <w:color w:val="auto"/>
        </w:rPr>
      </w:pPr>
      <w:r>
        <w:rPr>
          <w:rFonts w:ascii="Arial" w:cs="Arial" w:eastAsia="Arial" w:hAnsi="Arial"/>
          <w:sz w:val="16"/>
          <w:szCs w:val="16"/>
          <w:color w:val="auto"/>
        </w:rPr>
        <w:t>Research and development expenses consist primarily of personnel and related expenses for our research and development staff, which include: salaries, benefits, bonuses, and stock-based compensation; the cost of certain third-party contractors; and allocated overhead. Expenditures for research and development, other than internal use software costs, are expensed as incurred.</w:t>
      </w:r>
    </w:p>
    <w:p>
      <w:pPr>
        <w:spacing w:after="0" w:line="184"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Software development costs associated with internal use software, which are incurred during the application development phase and meet other requirements under the guidance are capitalized. To date, software costs eligible for capitalization have not been significant.</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risks, significant clients, and suppliers</w:t>
      </w:r>
    </w:p>
    <w:p>
      <w:pPr>
        <w:spacing w:after="0" w:line="131" w:lineRule="exact"/>
        <w:rPr>
          <w:sz w:val="20"/>
          <w:szCs w:val="20"/>
          <w:color w:val="auto"/>
        </w:rPr>
      </w:pPr>
    </w:p>
    <w:p>
      <w:pPr>
        <w:ind w:right="240" w:firstLine="510"/>
        <w:spacing w:after="0" w:line="318" w:lineRule="auto"/>
        <w:rPr>
          <w:sz w:val="20"/>
          <w:szCs w:val="20"/>
          <w:color w:val="auto"/>
        </w:rPr>
      </w:pPr>
      <w:r>
        <w:rPr>
          <w:rFonts w:ascii="Arial" w:cs="Arial" w:eastAsia="Arial" w:hAnsi="Arial"/>
          <w:sz w:val="14"/>
          <w:szCs w:val="14"/>
          <w:color w:val="auto"/>
        </w:rPr>
        <w:t>Financial instruments that potentially subject us to concentrations of credit risk consist of cash and cash equivalents, restricted cash, and accounts receivable. Our investment policy limits investments to high credit quality securities issued by the U.S. government, U.S. government-sponsored agencies, and highly rated corporate securities, subject to certain concentration limits and restrictions on maturities. Our cash and cash equivalents and restricted cash are held by financial institutions that management believes are of high credit quality. Amounts on deposit may at times exceed federally insured limits. We have not experienced any losses on our deposits of cash and cash equivalents. We are exposed to credit risk in the event of default by the financial institutions holding our cash and cash equivalents and bond issuers.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receivable are derived from sales to our customers and our strategic technology partners who operate in a variety of sectors. We do not require collateral.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Estimated credit losses are provided for in the consolidated financial statements and historically have been within management’s expectations.</w:t>
      </w:r>
    </w:p>
    <w:p>
      <w:pPr>
        <w:spacing w:after="0" w:line="231" w:lineRule="exact"/>
        <w:rPr>
          <w:sz w:val="20"/>
          <w:szCs w:val="20"/>
          <w:color w:val="auto"/>
        </w:rPr>
      </w:pPr>
    </w:p>
    <w:p>
      <w:pPr>
        <w:ind w:right="680" w:firstLine="510"/>
        <w:spacing w:after="0" w:line="369" w:lineRule="auto"/>
        <w:rPr>
          <w:sz w:val="20"/>
          <w:szCs w:val="20"/>
          <w:color w:val="auto"/>
        </w:rPr>
      </w:pPr>
      <w:r>
        <w:rPr>
          <w:rFonts w:ascii="Arial" w:cs="Arial" w:eastAsia="Arial" w:hAnsi="Arial"/>
          <w:sz w:val="14"/>
          <w:szCs w:val="14"/>
          <w:color w:val="auto"/>
        </w:rPr>
        <w:t>One of our strategic partners accounted for 15% of our revenue for the year ended December 31, 2020 and 12% of our revenue for each of the years ended December 31, 2019 and 2018, and accounted for 24%, 20% and 22% of our accounts receivable balance at December 31, 2020, 2019 and 2018,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13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expense advertising costs as incurred. Advertising expenses were approximately $12.9 million, $11.8 million and $8.9 million for the years ended December 31, 2020, 2019 and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31" w:lineRule="exact"/>
        <w:rPr>
          <w:sz w:val="20"/>
          <w:szCs w:val="20"/>
          <w:color w:val="auto"/>
        </w:rPr>
      </w:pPr>
    </w:p>
    <w:p>
      <w:pPr>
        <w:ind w:firstLine="510"/>
        <w:spacing w:after="0" w:line="297" w:lineRule="auto"/>
        <w:rPr>
          <w:sz w:val="20"/>
          <w:szCs w:val="20"/>
          <w:color w:val="auto"/>
        </w:rPr>
      </w:pPr>
      <w:r>
        <w:rPr>
          <w:rFonts w:ascii="Arial" w:cs="Arial" w:eastAsia="Arial" w:hAnsi="Arial"/>
          <w:sz w:val="15"/>
          <w:szCs w:val="15"/>
          <w:color w:val="auto"/>
        </w:rPr>
        <w:t>We determine if an arrangement is a lease or contains a lease at inception. At the commencement date of a lease, we recognize a liability to make lease payments and an asset representing the right to use the underlying asset during the lease term. The lease liability is measured at the present value of lease payments over the lease term. As our leases typically do not provide an implicit rate, we use our incremental borrowing rate for most leases. The right-of-use (“ROU”) asset is measured at cost, which includes the initial measurement of the lease liability and initial direct costs incurred and excludes lease incentives.</w:t>
      </w:r>
    </w:p>
    <w:p>
      <w:pPr>
        <w:spacing w:after="0" w:line="17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Lease terms may include options to extend or terminate the lease. We record a ROU asset and a lease liability when it is reasonably certain that we will exercise that option. Operating lease costs are recognized on a straight-line basis over the lease term.</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also lease office space under short-term arrangements and have elected not to include these arrangements in the ROU asset or lease liabilities.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31" w:lineRule="exact"/>
        <w:rPr>
          <w:sz w:val="20"/>
          <w:szCs w:val="20"/>
          <w:color w:val="auto"/>
        </w:rPr>
      </w:pPr>
    </w:p>
    <w:p>
      <w:pPr>
        <w:ind w:right="20" w:firstLine="667"/>
        <w:spacing w:after="0" w:line="268"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those assets will be realized. To date, we have provided a valuation allowance against all of our deferred tax assets as we believe the objective and verifiable evidence of our historical pretax net losses outweighs any positive evidence of its forecasted future results. We will continue to monitor the positive and negative evidence, and we will adjust the valuation allowance as sufficient objective positive evidence becomes available.</w:t>
      </w:r>
    </w:p>
    <w:p>
      <w:pPr>
        <w:spacing w:after="0" w:line="84" w:lineRule="exact"/>
        <w:rPr>
          <w:sz w:val="20"/>
          <w:szCs w:val="20"/>
          <w:color w:val="auto"/>
        </w:rPr>
      </w:pPr>
    </w:p>
    <w:p>
      <w:pPr>
        <w:ind w:right="80" w:firstLine="667"/>
        <w:spacing w:after="0" w:line="273" w:lineRule="auto"/>
        <w:rPr>
          <w:sz w:val="20"/>
          <w:szCs w:val="20"/>
          <w:color w:val="auto"/>
        </w:rPr>
      </w:pPr>
      <w:r>
        <w:rPr>
          <w:rFonts w:ascii="Arial" w:cs="Arial" w:eastAsia="Arial" w:hAnsi="Arial"/>
          <w:sz w:val="16"/>
          <w:szCs w:val="16"/>
          <w:color w:val="auto"/>
        </w:rPr>
        <w:t>We account for uncertain tax positions in accordance with ASC 740, “Income Taxes”, which clarifies the accounting for uncertainty in tax positions. These provisions require recognition of the impact of a tax position in our financial statements only if that position is more likely than not of being sustained upon examination by taxing authorities, based on the technical merits of the position. Any interest and penalties related to uncertain tax positions will be reflected as a component of income tax expense.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31"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We issue stock options and restricted stock units ("RSUs"). Stock-based compensation related to stock options is measured at the date of grant and is recognized on a straight-line basis over the service period, net of estimated forfeitures. We use the Black-Scholes option-pricing model to estimate the fair value of stock options awarded at the date of grant. Stock-based compensation related to restricted stock units is measured at the date of grant and recognized using the accelerated attribution method, net of forfeitures, over the remaining service period.</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w:t>
      </w:r>
    </w:p>
    <w:p>
      <w:pPr>
        <w:spacing w:after="0" w:line="239" w:lineRule="exact"/>
        <w:rPr>
          <w:sz w:val="20"/>
          <w:szCs w:val="20"/>
          <w:color w:val="auto"/>
        </w:rPr>
      </w:pPr>
    </w:p>
    <w:p>
      <w:pPr>
        <w:ind w:right="100" w:firstLine="510"/>
        <w:spacing w:after="0" w:line="27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expands the scope of Topic 718 to include share-based payment transactions for acquiring goods and services from nonemployees. The new guidance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and interim periods within those fiscal years, beginning after December 15, 2019. The adoption of this standard on January 1, 2020 did not have a material impact on our consolidated financial statements.</w:t>
      </w:r>
    </w:p>
    <w:p>
      <w:pPr>
        <w:spacing w:after="0" w:line="189"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In June 2016, the FASB issued ASU 2016-13, “Financial Instruments—Credit Losses (Topic 326)” which modifies the measurement of expected credit losses of certain financial instruments. Credit losses on trade and other receivables, available-for-sale debt securities, and other instruments will reflect our current estimate of the expected credit losses and will generally result in the earlier recognition of allowance for losses. The new guidance is effective for fiscal years, and interim periods within those fiscal years, beginning after December 15, 2019, with early adoption permitted. The adoption of the new standard resulted in the recording of a cumulative-effect adjustment to accumulated deficit of $0.4 million on January 1, 2020. We will continue to actively monitor the impact of the recent COVID-19 pandemic on expected credit losses.</w:t>
      </w:r>
    </w:p>
    <w:p>
      <w:pPr>
        <w:spacing w:after="0" w:line="194"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w:t>
      </w:r>
      <w:r>
        <w:rPr>
          <w:rFonts w:ascii="Arial" w:cs="Arial" w:eastAsia="Arial" w:hAnsi="Arial"/>
          <w:sz w:val="16"/>
          <w:szCs w:val="16"/>
          <w:color w:val="auto"/>
        </w:rPr>
        <w:t>,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We adopted this guidance on January 1, 2020 on a prospective basis, which did not result in a material impact to our consolidated financial statements.</w:t>
      </w:r>
    </w:p>
    <w:p>
      <w:pPr>
        <w:spacing w:after="0" w:line="189"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as part of its initiative to reduce complexity in the accounting standards. The amendments in ASU 2019-12 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Although the amendments in ASU 2019-12 become effective for fiscal years beginning after December 15, 2020, we elected to early adopt the ASU as of January 1, 2019 on a prospective basis. There is no material tax impact of the early adoption of ASU 2019-12 on our financial position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131" w:lineRule="exact"/>
        <w:rPr>
          <w:sz w:val="20"/>
          <w:szCs w:val="20"/>
          <w:color w:val="auto"/>
        </w:rPr>
      </w:pPr>
    </w:p>
    <w:p>
      <w:pPr>
        <w:ind w:right="60" w:firstLine="510"/>
        <w:spacing w:after="0" w:line="271" w:lineRule="auto"/>
        <w:rPr>
          <w:sz w:val="20"/>
          <w:szCs w:val="20"/>
          <w:color w:val="auto"/>
        </w:rPr>
      </w:pPr>
      <w:r>
        <w:rPr>
          <w:rFonts w:ascii="Arial" w:cs="Arial" w:eastAsia="Arial" w:hAnsi="Arial"/>
          <w:sz w:val="16"/>
          <w:szCs w:val="16"/>
          <w:color w:val="auto"/>
        </w:rPr>
        <w:t>Our functional and reporting currency and the functional and reporting currency of our subsidiaries is the U.S. dollar. Monetary assets and liabilities denominated in foreign currencies are re-measured to U.S. dollars using the exchange rates at the balance sheet dates. Non-monetary assets and liabilities denominated in foreign currencies are measured in U.S. dollars using historical exchange rates. Revenue and expenses are measured using the actual exchange rates prevailing on the dates of the transactions. Gains and losses resulting from re-measurement are recorded within Other expense in our consolidated statements of operations and were not material for all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 recognition and deferred costs</w:t>
      </w:r>
    </w:p>
    <w:p>
      <w:pPr>
        <w:spacing w:after="0" w:line="131"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Our sources of revenue consist of subscription solutions fees and partner and services fees. These services allow customers to access our hosted software over the contract period. The customer is not allowed to take possession of the software or transfer the software. Our revenue arrangements do not contain general rights of refund in the event of cancellations.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disaggregates our revenue by major source:</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33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7"/>
              </w:rPr>
              <w:t>Year ended December 31,</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3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19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4"/>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10"/>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Subscription solutions</w:t>
            </w: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103,706</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82,689</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70,484</w:t>
            </w:r>
          </w:p>
        </w:tc>
        <w:tc>
          <w:tcPr>
            <w:tcW w:w="100" w:type="dxa"/>
            <w:vAlign w:val="bottom"/>
            <w:shd w:val="clear" w:color="auto" w:fill="CFF0FC"/>
          </w:tcPr>
          <w:p>
            <w:pPr>
              <w:spacing w:after="0"/>
              <w:rPr>
                <w:sz w:val="18"/>
                <w:szCs w:val="18"/>
                <w:color w:val="auto"/>
              </w:rPr>
            </w:pPr>
          </w:p>
        </w:tc>
      </w:tr>
      <w:tr>
        <w:trPr>
          <w:trHeight w:val="213"/>
        </w:trPr>
        <w:tc>
          <w:tcPr>
            <w:tcW w:w="3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Partner and services</w:t>
            </w:r>
          </w:p>
        </w:tc>
        <w:tc>
          <w:tcPr>
            <w:tcW w:w="19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29,414</w:t>
            </w:r>
          </w:p>
        </w:tc>
        <w:tc>
          <w:tcPr>
            <w:tcW w:w="16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21,383</w:t>
            </w:r>
          </w:p>
        </w:tc>
        <w:tc>
          <w:tcPr>
            <w:tcW w:w="100" w:type="dxa"/>
            <w:vAlign w:val="bottom"/>
            <w:tcBorders>
              <w:bottom w:val="single" w:sz="8" w:color="CFF0FC"/>
            </w:tcBorders>
          </w:tcPr>
          <w:p>
            <w:pPr>
              <w:spacing w:after="0"/>
              <w:rPr>
                <w:sz w:val="18"/>
                <w:szCs w:val="18"/>
                <w:color w:val="auto"/>
              </w:rPr>
            </w:pPr>
          </w:p>
        </w:tc>
      </w:tr>
      <w:tr>
        <w:trPr>
          <w:trHeight w:val="210"/>
        </w:trPr>
        <w:tc>
          <w:tcPr>
            <w:tcW w:w="33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Total revenue</w:t>
            </w: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152,368</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91,867</w:t>
            </w:r>
          </w:p>
        </w:tc>
        <w:tc>
          <w:tcPr>
            <w:tcW w:w="100" w:type="dxa"/>
            <w:vAlign w:val="bottom"/>
            <w:shd w:val="clear" w:color="auto" w:fill="CFF0FC"/>
          </w:tcPr>
          <w:p>
            <w:pPr>
              <w:spacing w:after="0"/>
              <w:rPr>
                <w:sz w:val="18"/>
                <w:szCs w:val="18"/>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solutions</w:t>
      </w:r>
    </w:p>
    <w:p>
      <w:pPr>
        <w:spacing w:after="0" w:line="127" w:lineRule="exact"/>
        <w:rPr>
          <w:sz w:val="20"/>
          <w:szCs w:val="20"/>
          <w:color w:val="auto"/>
        </w:rPr>
      </w:pPr>
    </w:p>
    <w:p>
      <w:pPr>
        <w:ind w:right="20" w:firstLine="510"/>
        <w:spacing w:after="0" w:line="271" w:lineRule="auto"/>
        <w:rPr>
          <w:sz w:val="20"/>
          <w:szCs w:val="20"/>
          <w:color w:val="auto"/>
        </w:rPr>
      </w:pPr>
      <w:r>
        <w:rPr>
          <w:rFonts w:ascii="Arial" w:cs="Arial" w:eastAsia="Arial" w:hAnsi="Arial"/>
          <w:sz w:val="16"/>
          <w:szCs w:val="16"/>
          <w:color w:val="auto"/>
        </w:rPr>
        <w:t>Subscription solutions revenue consists primarily of platform subscription fees from all plans. It also includes recurring professional services and sales of SSL certificates. Subscription solutions are charged monthly, quarterly, or annually for our customers to sell their products and process transactions on our platform. Subscription solutions are generally charged per online store and are based on the store’s subscription plan. Monthly subscription fees for Pro and Enterprise plans are adjusted if a customer’s gross merchandise volume or orders processed are above specified plan thresholds on a trailing twelve-month basis. For most subscription solutions arrangements, we have determined we meet the variable consideration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allocation exception and, therefore, recognize fixed monthly fees or a pro-rata portion of quarterly or annual fees and any transaction fees as revenue in the month they are earned. A portion of our Enterprise subscription plans include an upfront promotional period in order to incentivize the customer to enter into a subscription arrangement. For these Enterprise arrangements, the total subscription fee is recognized on a straight-line basis over the term of the contract.</w:t>
      </w:r>
    </w:p>
    <w:p>
      <w:pPr>
        <w:spacing w:after="0" w:line="184"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Professional services, which primarily consist of education packages, launch services, solutions architecting, implementation consulting, and catalog transfer services, are generally billed and recognized as revenue when delivered. Contracts with our retail customers are generally month-to-month, while contracts with our enterprise customers generally range from one to three years. Contracts are typically non-cancellable and do not contain refund-type provisions. Revenue is presented net of sales tax and other taxes we collect on behalf of governmental authorities.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Partner and services</w:t>
      </w:r>
    </w:p>
    <w:p>
      <w:pPr>
        <w:spacing w:after="0" w:line="127" w:lineRule="exact"/>
        <w:rPr>
          <w:sz w:val="20"/>
          <w:szCs w:val="20"/>
          <w:color w:val="auto"/>
        </w:rPr>
      </w:pPr>
    </w:p>
    <w:p>
      <w:pPr>
        <w:ind w:right="120" w:firstLine="510"/>
        <w:spacing w:after="0" w:line="269" w:lineRule="auto"/>
        <w:rPr>
          <w:sz w:val="20"/>
          <w:szCs w:val="20"/>
          <w:color w:val="auto"/>
        </w:rPr>
      </w:pPr>
      <w:r>
        <w:rPr>
          <w:rFonts w:ascii="Arial" w:cs="Arial" w:eastAsia="Arial" w:hAnsi="Arial"/>
          <w:sz w:val="16"/>
          <w:szCs w:val="16"/>
          <w:color w:val="auto"/>
        </w:rPr>
        <w:t>Our partner and services revenue consists of revenue share, partner technology integrations, and marketing services provided to partners. Revenue share relates to fees earned by our partners from customers using our platform, where we have an arrangement with such partner to share such fees as they occur. Revenue share is recognized at the time the earning activity is complete, which is generally monthly. Revenue for partner technology integrations is recorded on a straight-line basis over the life of the contract commencing when the integration has been completed. Fees for marketing services are recognized either at the time the earning activity is complete, or ratably over the length of the contract, depending on the nature of the obligations in the contract. Payments received in advance of services being rendered are recorded as deferred revenue and recognized when the obligation is completed.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also derive revenue from the sales of website themes and applications upon delivery.</w:t>
      </w:r>
    </w:p>
    <w:p>
      <w:pPr>
        <w:spacing w:after="0" w:line="235" w:lineRule="exact"/>
        <w:rPr>
          <w:sz w:val="20"/>
          <w:szCs w:val="20"/>
          <w:color w:val="auto"/>
        </w:rPr>
      </w:pPr>
    </w:p>
    <w:p>
      <w:pPr>
        <w:ind w:right="160" w:firstLine="510"/>
        <w:spacing w:after="0" w:line="369" w:lineRule="auto"/>
        <w:rPr>
          <w:sz w:val="20"/>
          <w:szCs w:val="20"/>
          <w:color w:val="auto"/>
        </w:rPr>
      </w:pPr>
      <w:r>
        <w:rPr>
          <w:rFonts w:ascii="Arial" w:cs="Arial" w:eastAsia="Arial" w:hAnsi="Arial"/>
          <w:sz w:val="14"/>
          <w:szCs w:val="14"/>
          <w:color w:val="auto"/>
        </w:rPr>
        <w:t>We recognize revenue share, and revenue from the sales of third-party applications, on a net basis as we have determined that we are the agent in our arrangements with third-party application providers. All other revenue is recognized on a gross basis, as we have determined we are the principal in these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Contracts with multiple performance obligations</w:t>
      </w:r>
    </w:p>
    <w:p>
      <w:pPr>
        <w:spacing w:after="0" w:line="12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Determining whether products and services are considered distinct performance obligations that should be accounted for separately versus together may require significant judgment.</w:t>
      </w:r>
    </w:p>
    <w:p>
      <w:pPr>
        <w:spacing w:after="0" w:line="172" w:lineRule="exact"/>
        <w:rPr>
          <w:sz w:val="20"/>
          <w:szCs w:val="20"/>
          <w:color w:val="auto"/>
        </w:rPr>
      </w:pPr>
    </w:p>
    <w:p>
      <w:pPr>
        <w:ind w:right="20" w:firstLine="510"/>
        <w:spacing w:after="0" w:line="278" w:lineRule="auto"/>
        <w:rPr>
          <w:sz w:val="20"/>
          <w:szCs w:val="20"/>
          <w:color w:val="auto"/>
        </w:rPr>
      </w:pPr>
      <w:r>
        <w:rPr>
          <w:rFonts w:ascii="Arial" w:cs="Arial" w:eastAsia="Arial" w:hAnsi="Arial"/>
          <w:sz w:val="16"/>
          <w:szCs w:val="16"/>
          <w:color w:val="auto"/>
        </w:rPr>
        <w:t>Our subscription contracts are generally comprised of a single performance obligation to provide access to our platform, but can include additional performance obligations. For contracts with multiple performance obligations where the contracted price differs from the standalone selling price (“SSP”) for any distinct good or service, we may be required to allocate the contract’s transaction price to each performance obligation using our best estimate of SSP.</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Contracts with our technology solution partners often include multiple performance obligations. In determining whether integration services are distinct from hosting services we consider various factors. These considerations included the level of integration, interdependency, and interrelation between the implementation and hosting service, as well as any promises in the contract. We have concluded that the integration services included in contracts with hosting obligations are not distinct. As a result, we defer any arrangement fees for integration services and recognize such amounts over the life of the hosting obligation. Additional consideration for some partner contracts varies based on the level of customer activity on the platform. We have determined we meet the variable consideration allocation exception and therefore recognize these variable fees in the period they are earned.</w:t>
      </w:r>
    </w:p>
    <w:p>
      <w:pPr>
        <w:spacing w:after="0" w:line="194" w:lineRule="exact"/>
        <w:rPr>
          <w:sz w:val="20"/>
          <w:szCs w:val="20"/>
          <w:color w:val="auto"/>
        </w:rPr>
      </w:pPr>
    </w:p>
    <w:p>
      <w:pPr>
        <w:ind w:right="540" w:firstLine="510"/>
        <w:spacing w:after="0" w:line="273" w:lineRule="auto"/>
        <w:rPr>
          <w:sz w:val="20"/>
          <w:szCs w:val="20"/>
          <w:color w:val="auto"/>
        </w:rPr>
      </w:pPr>
      <w:r>
        <w:rPr>
          <w:rFonts w:ascii="Arial" w:cs="Arial" w:eastAsia="Arial" w:hAnsi="Arial"/>
          <w:sz w:val="16"/>
          <w:szCs w:val="16"/>
          <w:color w:val="auto"/>
        </w:rPr>
        <w:t>Judgment is required to determine the SSP for each distinct performance obligation. A contract’s transaction price is allocated to each distinct performance obligation and recognized as revenue when, or as, the performance obligation is satisfied. The primary method used to estimate SSP is the expected cost-plus margin approach, which considers margins achieved on standalone sales of similar products, market data related to historical margins within an industry, industry sales price averages, market conditions, and profit objectives.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7" w:lineRule="exact"/>
        <w:rPr>
          <w:sz w:val="20"/>
          <w:szCs w:val="20"/>
          <w:color w:val="auto"/>
        </w:rPr>
      </w:pPr>
    </w:p>
    <w:p>
      <w:pPr>
        <w:ind w:right="480" w:firstLine="510"/>
        <w:spacing w:after="0" w:line="278" w:lineRule="auto"/>
        <w:rPr>
          <w:sz w:val="20"/>
          <w:szCs w:val="20"/>
          <w:color w:val="auto"/>
        </w:rPr>
      </w:pPr>
      <w:r>
        <w:rPr>
          <w:rFonts w:ascii="Arial" w:cs="Arial" w:eastAsia="Arial" w:hAnsi="Arial"/>
          <w:sz w:val="16"/>
          <w:szCs w:val="16"/>
          <w:color w:val="auto"/>
        </w:rPr>
        <w:t>Cost of revenue consists primarily of personnel-related costs, including: stock-based compensation expenses for customer support and professional services personnel; costs of maintaining and securing our infrastructure and platform; amortization expense associated with capitalized internal-use software; and allocation of overhead costs.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2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Deferred revenue primarily consists of amounts that have been billed to or received from customers in advance of performing the associated services. We recognize revenue from deferred revenue when the services are performed and the corresponding revenue recognition criteria are met.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680" w:firstLine="510"/>
        <w:spacing w:after="0" w:line="328" w:lineRule="auto"/>
        <w:rPr>
          <w:sz w:val="20"/>
          <w:szCs w:val="20"/>
          <w:color w:val="auto"/>
        </w:rPr>
      </w:pPr>
      <w:r>
        <w:rPr>
          <w:rFonts w:ascii="Arial" w:cs="Arial" w:eastAsia="Arial" w:hAnsi="Arial"/>
          <w:sz w:val="15"/>
          <w:szCs w:val="15"/>
          <w:color w:val="auto"/>
        </w:rPr>
        <w:t>The net increase in the deferred revenue balance for the year ended December 31, 2020 is primarily due to increase in SaaS related subscriptions. Amounts recognized from deferred revenue represent primarily revenue from the sale of subscription solutions, integration, and marketing services.</w:t>
      </w:r>
    </w:p>
    <w:p>
      <w:pPr>
        <w:spacing w:after="0" w:line="150"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As of December 31, 2020, we had $86.9 million of remaining performance obligations, which represents contracted revenue minimums that have not yet been recognized, including amounts that will be invoiced and recognized as revenue in future periods. We expect to recognize approximately 55% of the remaining performance obligations as revenue in the next 12 months, and the remaining balance in the periods thereafter.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commissions</w:t>
      </w:r>
    </w:p>
    <w:p>
      <w:pPr>
        <w:spacing w:after="0" w:line="127"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Certain sales commissions earned by our sales force are considered incremental and recoverable costs of obtaining a contract with a customer. Sales commissions are not paid on subscription renewals. We amortize deferred sales commissions ratably over the estimated period of our relationship with customers of approximately four years. Based on historical experience, we determine the average life of our customer relationship by taking into consideration our customer contracts and the estimated technological life of our platform and related significant features. We include amortization of deferred commissions in Sales and marketing expense in the consolidated statements of operations. We periodically review the carrying amount of deferred commissions to determine whether events or changes in circumstances have occurred that could impact the period of benefit of these deferred costs. We did not recognize an impairment of deferred commissions during the years ended December 31, 2020 and December 31, 2019.</w:t>
      </w:r>
    </w:p>
    <w:p>
      <w:pPr>
        <w:spacing w:after="0" w:line="190" w:lineRule="exact"/>
        <w:rPr>
          <w:sz w:val="20"/>
          <w:szCs w:val="20"/>
          <w:color w:val="auto"/>
        </w:rPr>
      </w:pPr>
    </w:p>
    <w:p>
      <w:pPr>
        <w:ind w:right="180" w:firstLine="510"/>
        <w:spacing w:after="0" w:line="328" w:lineRule="auto"/>
        <w:rPr>
          <w:sz w:val="20"/>
          <w:szCs w:val="20"/>
          <w:color w:val="auto"/>
        </w:rPr>
      </w:pPr>
      <w:r>
        <w:rPr>
          <w:rFonts w:ascii="Arial" w:cs="Arial" w:eastAsia="Arial" w:hAnsi="Arial"/>
          <w:sz w:val="15"/>
          <w:szCs w:val="15"/>
          <w:color w:val="auto"/>
        </w:rPr>
        <w:t>Sales commissions of $4.5 million, $2.5 million and $2.0 million were deferred for the years ended December 31, 2020, 2019 and 2018, respectively; and deferred commission amortization expense was $2.2 million, $1.6 million and $1.2 million for the years ended December 31, 2020, 2019 and 2018,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3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Financial instruments carried at fair value include cash and cash equivalents, restricted cash and marketable securities. The carrying amount of accounts receivable, accounts payable, and accrued liabilities approximate fair value due to their relatively short maturities.</w:t>
      </w:r>
    </w:p>
    <w:p>
      <w:pPr>
        <w:spacing w:after="0" w:line="172" w:lineRule="exact"/>
        <w:rPr>
          <w:sz w:val="20"/>
          <w:szCs w:val="20"/>
          <w:color w:val="auto"/>
        </w:rPr>
      </w:pPr>
    </w:p>
    <w:p>
      <w:pPr>
        <w:ind w:right="180" w:firstLine="510"/>
        <w:spacing w:after="0" w:line="278" w:lineRule="auto"/>
        <w:rPr>
          <w:sz w:val="20"/>
          <w:szCs w:val="20"/>
          <w:color w:val="auto"/>
        </w:rPr>
      </w:pPr>
      <w:r>
        <w:rPr>
          <w:rFonts w:ascii="Arial" w:cs="Arial" w:eastAsia="Arial" w:hAnsi="Arial"/>
          <w:sz w:val="16"/>
          <w:szCs w:val="16"/>
          <w:color w:val="auto"/>
        </w:rPr>
        <w:t>For assets and liabilities measured at fair value, fair value is the price to sell an asset or paid to transfer a liability in an orderly transaction between market participants as of the measurement date. When determining fair value, we consider the principal or most advantageous market in which it would transact, and assumptions that market participants would use when pricing asset or liabilities.</w:t>
      </w:r>
    </w:p>
    <w:p>
      <w:pPr>
        <w:spacing w:after="0" w:line="184" w:lineRule="exact"/>
        <w:rPr>
          <w:sz w:val="20"/>
          <w:szCs w:val="20"/>
          <w:color w:val="auto"/>
        </w:rPr>
      </w:pPr>
    </w:p>
    <w:p>
      <w:pPr>
        <w:jc w:val="both"/>
        <w:ind w:right="80" w:firstLine="510"/>
        <w:spacing w:after="0" w:line="305" w:lineRule="auto"/>
        <w:rPr>
          <w:sz w:val="20"/>
          <w:szCs w:val="20"/>
          <w:color w:val="auto"/>
        </w:rPr>
      </w:pPr>
      <w:r>
        <w:rPr>
          <w:rFonts w:ascii="Arial" w:cs="Arial" w:eastAsia="Arial" w:hAnsi="Arial"/>
          <w:sz w:val="15"/>
          <w:szCs w:val="15"/>
          <w:color w:val="auto"/>
        </w:rPr>
        <w:t>The accounting standard for fair value establishes a fair value hierarchy based on three levels of inputs, the first two of which are considered observable and the last unobservable. The standard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27"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1—Inputs are unadjusted, quoted prices in active markets for identical assets or liabilities at the measurement date.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2—Inputs are other than quoted prices included within Level 1 that are observable for the asset or liability, either directly or indirectly.</w:t>
      </w:r>
    </w:p>
    <w:p>
      <w:pPr>
        <w:spacing w:after="0" w:line="140" w:lineRule="exact"/>
        <w:rPr>
          <w:rFonts w:ascii="Arial" w:cs="Arial" w:eastAsia="Arial" w:hAnsi="Arial"/>
          <w:sz w:val="16"/>
          <w:szCs w:val="16"/>
          <w:color w:val="auto"/>
        </w:rPr>
      </w:pPr>
    </w:p>
    <w:p>
      <w:pPr>
        <w:ind w:left="1000" w:right="20" w:hanging="493"/>
        <w:spacing w:after="0" w:line="293"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3—Inputs are unobservable that are significant to the fair value of the asset or liability and are developed based on the best information available in the circumstances, which might include our data.</w:t>
      </w:r>
    </w:p>
    <w:p>
      <w:pPr>
        <w:spacing w:after="0" w:line="172" w:lineRule="exact"/>
        <w:rPr>
          <w:sz w:val="20"/>
          <w:szCs w:val="20"/>
          <w:color w:val="auto"/>
        </w:rPr>
      </w:pPr>
    </w:p>
    <w:p>
      <w:pPr>
        <w:ind w:right="920" w:firstLine="510"/>
        <w:spacing w:after="0" w:line="293" w:lineRule="auto"/>
        <w:rPr>
          <w:sz w:val="20"/>
          <w:szCs w:val="20"/>
          <w:color w:val="auto"/>
        </w:rPr>
      </w:pPr>
      <w:r>
        <w:rPr>
          <w:rFonts w:ascii="Arial" w:cs="Arial" w:eastAsia="Arial" w:hAnsi="Arial"/>
          <w:sz w:val="16"/>
          <w:szCs w:val="16"/>
          <w:color w:val="auto"/>
        </w:rPr>
        <w:t>We had $196.5 million of marketable securities included in our cash equivalents as of December 31, 2020, which were valued using Level 1 inputs and approximated its carry value.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December 31, 2019 the fair value of debt was measured using Level 2 inputs and approximated its carrying value.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and equipment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which includes software purchased or developed for internal use, is composed of the following:</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4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112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Computer software</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Computer equipment</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Leasehold improvements</w:t>
            </w: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7,943</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7,834</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20,607</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(13,485)</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(10,395)</w:t>
            </w:r>
          </w:p>
        </w:tc>
        <w:tc>
          <w:tcPr>
            <w:tcW w:w="0" w:type="dxa"/>
            <w:vAlign w:val="bottom"/>
          </w:tcPr>
          <w:p>
            <w:pPr>
              <w:spacing w:after="0"/>
              <w:rPr>
                <w:sz w:val="1"/>
                <w:szCs w:val="1"/>
                <w:color w:val="auto"/>
              </w:rPr>
            </w:pPr>
          </w:p>
        </w:tc>
      </w:tr>
      <w:tr>
        <w:trPr>
          <w:trHeight w:val="20"/>
        </w:trPr>
        <w:tc>
          <w:tcPr>
            <w:tcW w:w="42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vMerge w:val="continue"/>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8,241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780" w:firstLine="510"/>
        <w:spacing w:after="0" w:line="293" w:lineRule="auto"/>
        <w:rPr>
          <w:sz w:val="20"/>
          <w:szCs w:val="20"/>
          <w:color w:val="auto"/>
        </w:rPr>
      </w:pPr>
      <w:r>
        <w:rPr>
          <w:rFonts w:ascii="Arial" w:cs="Arial" w:eastAsia="Arial" w:hAnsi="Arial"/>
          <w:sz w:val="16"/>
          <w:szCs w:val="16"/>
          <w:color w:val="auto"/>
        </w:rPr>
        <w:t>Depreciation expense on property and equipment was $3.1 million, $2.6 million and $1.8 million for the years ended December 31, 2020, 2019 and 2018,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Commitments, contingencies, and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had unconditional purchase obligations as of December 31, 2020, as follows: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340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2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2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6,122</w:t>
            </w:r>
          </w:p>
        </w:tc>
        <w:tc>
          <w:tcPr>
            <w:tcW w:w="60" w:type="dxa"/>
            <w:vAlign w:val="bottom"/>
            <w:shd w:val="clear" w:color="auto" w:fill="CFF0FC"/>
          </w:tcPr>
          <w:p>
            <w:pPr>
              <w:spacing w:after="0"/>
              <w:rPr>
                <w:sz w:val="18"/>
                <w:szCs w:val="18"/>
                <w:color w:val="auto"/>
              </w:rPr>
            </w:pP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2022</w:t>
            </w: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4,333</w:t>
            </w:r>
          </w:p>
        </w:tc>
        <w:tc>
          <w:tcPr>
            <w:tcW w:w="60" w:type="dxa"/>
            <w:vAlign w:val="bottom"/>
          </w:tcPr>
          <w:p>
            <w:pPr>
              <w:spacing w:after="0"/>
              <w:rPr>
                <w:sz w:val="18"/>
                <w:szCs w:val="18"/>
                <w:color w:val="auto"/>
              </w:rPr>
            </w:pP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2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13"/>
        </w:trPr>
        <w:tc>
          <w:tcPr>
            <w:tcW w:w="3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2024 and thereafter</w:t>
            </w:r>
          </w:p>
        </w:tc>
        <w:tc>
          <w:tcPr>
            <w:tcW w:w="2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8"/>
                <w:szCs w:val="18"/>
                <w:color w:val="auto"/>
              </w:rPr>
            </w:pPr>
          </w:p>
        </w:tc>
      </w:tr>
      <w:tr>
        <w:trPr>
          <w:trHeight w:val="20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25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10,455</w:t>
            </w:r>
          </w:p>
        </w:tc>
        <w:tc>
          <w:tcPr>
            <w:tcW w:w="60" w:type="dxa"/>
            <w:vAlign w:val="bottom"/>
            <w:shd w:val="clear" w:color="auto" w:fill="CFF0FC"/>
          </w:tcPr>
          <w:p>
            <w:pPr>
              <w:spacing w:after="0"/>
              <w:rPr>
                <w:sz w:val="18"/>
                <w:szCs w:val="18"/>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33"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Liabilities for loss contingencies arising from claims, assessments, litigation, fines, penalties, and other sources are recorded when it is probable that a liability has been incurred and that the amount can be reasonably estimated. Legal costs incurred in connection with loss contingencies are expensed as incurred. From time to time, we are subject to various claims that arise in the normal course of business. In the opinion of management, we are unaware of any pending or unasserted claims that would have a material adverse effect on our financial position, liquidity, or results.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executive officers are entitled to payments in the event of termination of employment in connection with a certain change in control.</w:t>
      </w:r>
    </w:p>
    <w:p>
      <w:pPr>
        <w:spacing w:after="0" w:line="235"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Our certificate of incorporation and certain contractual arrangements provide for indemnification of our officers and directors for certain events or occurrences. We maintain a directors and officers insurance policy to provide coverage in the event of a claim against an officer of director. Historically, we have not been obligated to make any payments for indemnification obligations, and no liabilities have been recorded for these obligations on the consolidated balance sheets as of December 31, 2020 and 2019.</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31" w:lineRule="exact"/>
        <w:rPr>
          <w:sz w:val="20"/>
          <w:szCs w:val="20"/>
          <w:color w:val="auto"/>
        </w:rPr>
      </w:pPr>
    </w:p>
    <w:p>
      <w:pPr>
        <w:ind w:right="420" w:firstLine="510"/>
        <w:spacing w:after="0" w:line="328" w:lineRule="auto"/>
        <w:rPr>
          <w:sz w:val="20"/>
          <w:szCs w:val="20"/>
          <w:color w:val="auto"/>
        </w:rPr>
      </w:pPr>
      <w:r>
        <w:rPr>
          <w:rFonts w:ascii="Arial" w:cs="Arial" w:eastAsia="Arial" w:hAnsi="Arial"/>
          <w:sz w:val="15"/>
          <w:szCs w:val="15"/>
          <w:color w:val="auto"/>
        </w:rPr>
        <w:t>We lease certain facilities under operating lease agreements that expire at various dates through 2028. Some of these arrangements contain renewal options and require us to pay taxes, insurance and maintenance costs. Renewal options were not included in the ROU asset and lease liability calculation.</w:t>
      </w:r>
    </w:p>
    <w:p>
      <w:pPr>
        <w:spacing w:after="0" w:line="150" w:lineRule="exact"/>
        <w:rPr>
          <w:sz w:val="20"/>
          <w:szCs w:val="20"/>
          <w:color w:val="auto"/>
        </w:rPr>
      </w:pPr>
    </w:p>
    <w:p>
      <w:pPr>
        <w:jc w:val="both"/>
        <w:ind w:right="80" w:firstLine="510"/>
        <w:spacing w:after="0" w:line="278" w:lineRule="auto"/>
        <w:rPr>
          <w:sz w:val="20"/>
          <w:szCs w:val="20"/>
          <w:color w:val="auto"/>
        </w:rPr>
      </w:pPr>
      <w:r>
        <w:rPr>
          <w:rFonts w:ascii="Arial" w:cs="Arial" w:eastAsia="Arial" w:hAnsi="Arial"/>
          <w:sz w:val="16"/>
          <w:szCs w:val="16"/>
          <w:color w:val="auto"/>
        </w:rPr>
        <w:t>We adopted ASC Topic 842, Leases on January 1, 2019. Operating and short-term rent expenses were $3.7 and $3.2 million, and $0.4 and $0.3 million, respectively, for the years ended December 31, 2020 and 2019. Operating rent expense was $2.5 million for the year ended December 31, 2018. We elected the practical expedient to not provide comparable presentation for periods prior to adoption.</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lease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tcPr>
          <w:p>
            <w:pPr>
              <w:jc w:val="right"/>
              <w:ind w:right="125"/>
              <w:spacing w:after="0"/>
              <w:rPr>
                <w:sz w:val="20"/>
                <w:szCs w:val="20"/>
                <w:color w:val="auto"/>
              </w:rPr>
            </w:pPr>
            <w:r>
              <w:rPr>
                <w:rFonts w:ascii="Arial" w:cs="Arial" w:eastAsia="Arial" w:hAnsi="Arial"/>
                <w:sz w:val="13"/>
                <w:szCs w:val="13"/>
                <w:b w:val="1"/>
                <w:bCs w:val="1"/>
                <w:color w:val="auto"/>
                <w:w w:val="87"/>
              </w:rPr>
              <w:t>Year ended December 31,</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40" w:type="dxa"/>
            <w:vAlign w:val="bottom"/>
            <w:gridSpan w:val="2"/>
          </w:tcPr>
          <w:p>
            <w:pPr>
              <w:ind w:left="2260"/>
              <w:spacing w:after="0" w:line="142" w:lineRule="exact"/>
              <w:rPr>
                <w:sz w:val="20"/>
                <w:szCs w:val="20"/>
                <w:color w:val="auto"/>
              </w:rPr>
            </w:pPr>
            <w:r>
              <w:rPr>
                <w:rFonts w:ascii="Arial" w:cs="Arial" w:eastAsia="Arial" w:hAnsi="Arial"/>
                <w:sz w:val="13"/>
                <w:szCs w:val="13"/>
                <w:i w:val="1"/>
                <w:iCs w:val="1"/>
                <w:color w:val="auto"/>
              </w:rPr>
              <w:t>Cash flow information (in thousands)</w:t>
            </w: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65"/>
              <w:spacing w:after="0" w:line="142" w:lineRule="exact"/>
              <w:rPr>
                <w:sz w:val="20"/>
                <w:szCs w:val="20"/>
                <w:color w:val="auto"/>
              </w:rPr>
            </w:pPr>
            <w:r>
              <w:rPr>
                <w:rFonts w:ascii="Arial" w:cs="Arial" w:eastAsia="Arial" w:hAnsi="Arial"/>
                <w:sz w:val="13"/>
                <w:szCs w:val="13"/>
                <w:b w:val="1"/>
                <w:bCs w:val="1"/>
                <w:color w:val="auto"/>
              </w:rPr>
              <w:t>2019</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4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paid for operating lease liabilities</w:t>
            </w:r>
          </w:p>
        </w:tc>
        <w:tc>
          <w:tcPr>
            <w:tcW w:w="5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tcPr>
          <w:p>
            <w:pPr>
              <w:spacing w:after="0"/>
              <w:rPr>
                <w:sz w:val="18"/>
                <w:szCs w:val="18"/>
                <w:color w:val="auto"/>
              </w:rPr>
            </w:pPr>
          </w:p>
        </w:tc>
        <w:tc>
          <w:tcPr>
            <w:tcW w:w="4480" w:type="dxa"/>
            <w:vAlign w:val="bottom"/>
            <w:vMerge w:val="continue"/>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3,666 $</w:t>
            </w:r>
          </w:p>
        </w:tc>
        <w:tc>
          <w:tcPr>
            <w:tcW w:w="660" w:type="dxa"/>
            <w:vAlign w:val="bottom"/>
            <w:tcBorders>
              <w:right w:val="single" w:sz="8" w:color="CFF0FC"/>
            </w:tcBorders>
            <w:shd w:val="clear" w:color="auto" w:fill="CFF0FC"/>
          </w:tcPr>
          <w:p>
            <w:pPr>
              <w:jc w:val="right"/>
              <w:ind w:right="5"/>
              <w:spacing w:after="0"/>
              <w:rPr>
                <w:sz w:val="20"/>
                <w:szCs w:val="20"/>
                <w:color w:val="auto"/>
              </w:rPr>
            </w:pPr>
            <w:r>
              <w:rPr>
                <w:rFonts w:ascii="Arial" w:cs="Arial" w:eastAsia="Arial" w:hAnsi="Arial"/>
                <w:sz w:val="16"/>
                <w:szCs w:val="16"/>
                <w:color w:val="auto"/>
              </w:rPr>
              <w:t>3,224</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40" w:type="dxa"/>
            <w:vAlign w:val="bottom"/>
            <w:gridSpan w:val="2"/>
          </w:tcPr>
          <w:p>
            <w:pPr>
              <w:ind w:left="2260"/>
              <w:spacing w:after="0"/>
              <w:rPr>
                <w:sz w:val="20"/>
                <w:szCs w:val="20"/>
                <w:color w:val="auto"/>
              </w:rPr>
            </w:pPr>
            <w:r>
              <w:rPr>
                <w:rFonts w:ascii="Arial" w:cs="Arial" w:eastAsia="Arial" w:hAnsi="Arial"/>
                <w:sz w:val="16"/>
                <w:szCs w:val="16"/>
                <w:color w:val="auto"/>
              </w:rPr>
              <w:t>Right-of-use assets obtained in exchange for operating lease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4480" w:type="dxa"/>
            <w:vAlign w:val="bottom"/>
          </w:tcPr>
          <w:p>
            <w:pPr>
              <w:ind w:left="120"/>
              <w:spacing w:after="0"/>
              <w:rPr>
                <w:sz w:val="20"/>
                <w:szCs w:val="20"/>
                <w:color w:val="auto"/>
              </w:rPr>
            </w:pPr>
            <w:r>
              <w:rPr>
                <w:rFonts w:ascii="Arial" w:cs="Arial" w:eastAsia="Arial" w:hAnsi="Arial"/>
                <w:sz w:val="16"/>
                <w:szCs w:val="16"/>
                <w:color w:val="auto"/>
              </w:rPr>
              <w:t>obligations</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660" w:type="dxa"/>
            <w:vAlign w:val="bottom"/>
          </w:tcPr>
          <w:p>
            <w:pPr>
              <w:jc w:val="right"/>
              <w:ind w:right="5"/>
              <w:spacing w:after="0"/>
              <w:rPr>
                <w:sz w:val="20"/>
                <w:szCs w:val="20"/>
                <w:color w:val="auto"/>
              </w:rPr>
            </w:pPr>
            <w:r>
              <w:rPr>
                <w:rFonts w:ascii="Arial" w:cs="Arial" w:eastAsia="Arial" w:hAnsi="Arial"/>
                <w:sz w:val="16"/>
                <w:szCs w:val="16"/>
                <w:color w:val="auto"/>
              </w:rPr>
              <w:t>2,714</w:t>
            </w: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2260" w:type="dxa"/>
            <w:vAlign w:val="bottom"/>
          </w:tcPr>
          <w:p>
            <w:pPr>
              <w:spacing w:after="0"/>
              <w:rPr>
                <w:sz w:val="24"/>
                <w:szCs w:val="24"/>
                <w:color w:val="auto"/>
              </w:rPr>
            </w:pPr>
          </w:p>
        </w:tc>
        <w:tc>
          <w:tcPr>
            <w:tcW w:w="4480" w:type="dxa"/>
            <w:vAlign w:val="bottom"/>
          </w:tcPr>
          <w:p>
            <w:pPr>
              <w:ind w:left="3220"/>
              <w:spacing w:after="0"/>
              <w:rPr>
                <w:sz w:val="20"/>
                <w:szCs w:val="20"/>
                <w:color w:val="auto"/>
              </w:rPr>
            </w:pPr>
            <w:r>
              <w:rPr>
                <w:rFonts w:ascii="Arial" w:cs="Arial" w:eastAsia="Arial" w:hAnsi="Arial"/>
                <w:sz w:val="16"/>
                <w:szCs w:val="16"/>
                <w:color w:val="auto"/>
              </w:rPr>
              <w:t>F-15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26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7"/>
          </w:tcPr>
          <w:p>
            <w:pPr>
              <w:jc w:val="right"/>
              <w:ind w:right="560"/>
              <w:spacing w:after="0"/>
              <w:rPr>
                <w:sz w:val="20"/>
                <w:szCs w:val="20"/>
                <w:color w:val="auto"/>
              </w:rPr>
            </w:pPr>
            <w:r>
              <w:rPr>
                <w:rFonts w:ascii="Arial" w:cs="Arial" w:eastAsia="Arial" w:hAnsi="Arial"/>
                <w:sz w:val="13"/>
                <w:szCs w:val="13"/>
                <w:b w:val="1"/>
                <w:bCs w:val="1"/>
                <w:color w:val="auto"/>
                <w:w w:val="87"/>
              </w:rPr>
              <w:t>Year ended December 31,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120" w:type="dxa"/>
            <w:vAlign w:val="bottom"/>
            <w:gridSpan w:val="2"/>
          </w:tcPr>
          <w:p>
            <w:pPr>
              <w:ind w:left="560"/>
              <w:spacing w:after="0" w:line="142" w:lineRule="exact"/>
              <w:rPr>
                <w:sz w:val="20"/>
                <w:szCs w:val="20"/>
                <w:color w:val="auto"/>
              </w:rPr>
            </w:pPr>
            <w:r>
              <w:rPr>
                <w:rFonts w:ascii="Arial" w:cs="Arial" w:eastAsia="Arial" w:hAnsi="Arial"/>
                <w:sz w:val="13"/>
                <w:szCs w:val="13"/>
                <w:i w:val="1"/>
                <w:iCs w:val="1"/>
                <w:color w:val="auto"/>
              </w:rPr>
              <w:t>Operating lease information</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remaining lease-term</w:t>
            </w: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gridSpan w:val="3"/>
            <w:shd w:val="clear" w:color="auto" w:fill="CFF0FC"/>
          </w:tcPr>
          <w:p>
            <w:pPr>
              <w:jc w:val="right"/>
              <w:ind w:right="357"/>
              <w:spacing w:after="0"/>
              <w:rPr>
                <w:sz w:val="20"/>
                <w:szCs w:val="20"/>
                <w:color w:val="auto"/>
              </w:rPr>
            </w:pPr>
            <w:r>
              <w:rPr>
                <w:rFonts w:ascii="Arial" w:cs="Arial" w:eastAsia="Arial" w:hAnsi="Arial"/>
                <w:sz w:val="16"/>
                <w:szCs w:val="16"/>
                <w:color w:val="auto"/>
                <w:w w:val="97"/>
              </w:rPr>
              <w:t>6.0 years</w:t>
            </w:r>
          </w:p>
        </w:tc>
        <w:tc>
          <w:tcPr>
            <w:tcW w:w="680" w:type="dxa"/>
            <w:vAlign w:val="bottom"/>
            <w:tcBorders>
              <w:top w:val="single" w:sz="8" w:color="auto"/>
            </w:tcBorders>
            <w:gridSpan w:val="2"/>
            <w:shd w:val="clear" w:color="auto" w:fill="CFF0FC"/>
          </w:tcPr>
          <w:p>
            <w:pPr>
              <w:ind w:left="60"/>
              <w:spacing w:after="0"/>
              <w:rPr>
                <w:sz w:val="20"/>
                <w:szCs w:val="20"/>
                <w:color w:val="auto"/>
              </w:rPr>
            </w:pPr>
            <w:r>
              <w:rPr>
                <w:rFonts w:ascii="Arial" w:cs="Arial" w:eastAsia="Arial" w:hAnsi="Arial"/>
                <w:sz w:val="16"/>
                <w:szCs w:val="16"/>
                <w:color w:val="auto"/>
                <w:w w:val="91"/>
              </w:rPr>
              <w:t>6.8 years</w:t>
            </w:r>
          </w:p>
        </w:tc>
        <w:tc>
          <w:tcPr>
            <w:tcW w:w="140" w:type="dxa"/>
            <w:vAlign w:val="bottom"/>
            <w:tcBorders>
              <w:top w:val="single" w:sz="8" w:color="CFF0FC"/>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120" w:type="dxa"/>
            <w:vAlign w:val="bottom"/>
            <w:gridSpan w:val="2"/>
          </w:tcPr>
          <w:p>
            <w:pPr>
              <w:ind w:left="560"/>
              <w:spacing w:after="0"/>
              <w:rPr>
                <w:sz w:val="20"/>
                <w:szCs w:val="20"/>
                <w:color w:val="auto"/>
              </w:rPr>
            </w:pPr>
            <w:r>
              <w:rPr>
                <w:rFonts w:ascii="Arial" w:cs="Arial" w:eastAsia="Arial" w:hAnsi="Arial"/>
                <w:sz w:val="16"/>
                <w:szCs w:val="16"/>
                <w:color w:val="auto"/>
              </w:rPr>
              <w:t>Weighted-average discount rate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17"/>
              <w:spacing w:after="0"/>
              <w:rPr>
                <w:sz w:val="20"/>
                <w:szCs w:val="20"/>
                <w:color w:val="auto"/>
              </w:rPr>
            </w:pPr>
            <w:r>
              <w:rPr>
                <w:rFonts w:ascii="Arial" w:cs="Arial" w:eastAsia="Arial" w:hAnsi="Arial"/>
                <w:sz w:val="16"/>
                <w:szCs w:val="16"/>
                <w:color w:val="auto"/>
                <w:w w:val="96"/>
              </w:rPr>
              <w:t>5.42%</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5.50%</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6820" w:type="dxa"/>
            <w:vAlign w:val="bottom"/>
            <w:gridSpan w:val="3"/>
          </w:tcPr>
          <w:p>
            <w:pPr>
              <w:ind w:left="520"/>
              <w:spacing w:after="0"/>
              <w:rPr>
                <w:sz w:val="20"/>
                <w:szCs w:val="20"/>
                <w:color w:val="auto"/>
              </w:rPr>
            </w:pPr>
            <w:r>
              <w:rPr>
                <w:rFonts w:ascii="Arial" w:cs="Arial" w:eastAsia="Arial" w:hAnsi="Arial"/>
                <w:sz w:val="16"/>
                <w:szCs w:val="16"/>
                <w:color w:val="auto"/>
              </w:rPr>
              <w:t>The future maturities of operating lease liabilities are as follows: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5"/>
          </w:tcPr>
          <w:p>
            <w:pPr>
              <w:ind w:left="200"/>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5120" w:type="dxa"/>
            <w:vAlign w:val="bottom"/>
            <w:gridSpan w:val="2"/>
          </w:tcPr>
          <w:p>
            <w:pPr>
              <w:ind w:left="56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2021</w:t>
            </w: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57"/>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3,928</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gridSpan w:val="3"/>
          </w:tcPr>
          <w:p>
            <w:pPr>
              <w:ind w:left="226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3,062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2,484</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gridSpan w:val="3"/>
          </w:tcPr>
          <w:p>
            <w:pPr>
              <w:ind w:left="226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2,243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2,011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5120" w:type="dxa"/>
            <w:vAlign w:val="bottom"/>
            <w:gridSpan w:val="2"/>
          </w:tcPr>
          <w:p>
            <w:pPr>
              <w:ind w:left="56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4,923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minimum lease payments</w:t>
            </w: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57"/>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18,651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5120" w:type="dxa"/>
            <w:vAlign w:val="bottom"/>
            <w:gridSpan w:val="2"/>
          </w:tcPr>
          <w:p>
            <w:pPr>
              <w:ind w:left="560"/>
              <w:spacing w:after="0"/>
              <w:rPr>
                <w:sz w:val="20"/>
                <w:szCs w:val="20"/>
                <w:color w:val="auto"/>
              </w:rPr>
            </w:pPr>
            <w:r>
              <w:rPr>
                <w:rFonts w:ascii="Arial" w:cs="Arial" w:eastAsia="Arial" w:hAnsi="Arial"/>
                <w:sz w:val="16"/>
                <w:szCs w:val="16"/>
                <w:color w:val="auto"/>
              </w:rPr>
              <w:t>Less imputed interest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(2,806)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lease liabilities</w:t>
            </w: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57"/>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15,845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7. Other liabilities</w:t>
            </w:r>
          </w:p>
        </w:tc>
        <w:tc>
          <w:tcPr>
            <w:tcW w:w="4560" w:type="dxa"/>
            <w:vAlign w:val="bottom"/>
            <w:tcBorders>
              <w:top w:val="single" w:sz="8" w:color="CFF0FC"/>
              <w:bottom w:val="single" w:sz="8" w:color="CFF0FC"/>
            </w:tcBorders>
            <w:vMerge w:val="restart"/>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2260" w:type="dxa"/>
            <w:vAlign w:val="bottom"/>
            <w:gridSpan w:val="2"/>
            <w:vMerge w:val="continue"/>
          </w:tcPr>
          <w:p>
            <w:pPr>
              <w:spacing w:after="0"/>
              <w:rPr>
                <w:sz w:val="24"/>
                <w:szCs w:val="24"/>
                <w:color w:val="auto"/>
              </w:rPr>
            </w:pPr>
          </w:p>
        </w:tc>
        <w:tc>
          <w:tcPr>
            <w:tcW w:w="4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820" w:type="dxa"/>
            <w:vAlign w:val="bottom"/>
            <w:gridSpan w:val="3"/>
          </w:tcPr>
          <w:p>
            <w:pPr>
              <w:ind w:left="520"/>
              <w:spacing w:after="0"/>
              <w:rPr>
                <w:sz w:val="20"/>
                <w:szCs w:val="20"/>
                <w:color w:val="auto"/>
              </w:rPr>
            </w:pPr>
            <w:r>
              <w:rPr>
                <w:rFonts w:ascii="Arial" w:cs="Arial" w:eastAsia="Arial" w:hAnsi="Arial"/>
                <w:sz w:val="16"/>
                <w:szCs w:val="16"/>
                <w:color w:val="auto"/>
              </w:rPr>
              <w:t>The following table summarizes the components of other current liabilities: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5"/>
          </w:tcPr>
          <w:p>
            <w:pPr>
              <w:ind w:left="200"/>
              <w:spacing w:after="0"/>
              <w:rPr>
                <w:sz w:val="20"/>
                <w:szCs w:val="20"/>
                <w:color w:val="auto"/>
              </w:rPr>
            </w:pPr>
            <w:r>
              <w:rPr>
                <w:rFonts w:ascii="Arial" w:cs="Arial" w:eastAsia="Arial" w:hAnsi="Arial"/>
                <w:sz w:val="13"/>
                <w:szCs w:val="13"/>
                <w:b w:val="1"/>
                <w:bCs w:val="1"/>
                <w:color w:val="auto"/>
              </w:rPr>
              <w:t>Year ended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gridSpan w:val="3"/>
          </w:tcPr>
          <w:p>
            <w:pPr>
              <w:ind w:left="1700"/>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2"/>
                <w:szCs w:val="12"/>
                <w:color w:val="auto"/>
              </w:rPr>
            </w:pPr>
          </w:p>
        </w:tc>
        <w:tc>
          <w:tcPr>
            <w:tcW w:w="880" w:type="dxa"/>
            <w:vAlign w:val="bottom"/>
            <w:gridSpan w:val="4"/>
          </w:tcPr>
          <w:p>
            <w:pPr>
              <w:jc w:val="right"/>
              <w:ind w:right="20"/>
              <w:spacing w:after="0" w:line="142" w:lineRule="exact"/>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Sales tax payable</w:t>
            </w: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120" w:type="dxa"/>
            <w:vAlign w:val="bottom"/>
            <w:gridSpan w:val="2"/>
            <w:vMerge w:val="continue"/>
            <w:shd w:val="clear" w:color="auto" w:fill="CFF0FC"/>
          </w:tcPr>
          <w:p>
            <w:pPr>
              <w:spacing w:after="0"/>
              <w:rPr>
                <w:sz w:val="18"/>
                <w:szCs w:val="18"/>
                <w:color w:val="auto"/>
              </w:rPr>
            </w:pPr>
          </w:p>
        </w:tc>
        <w:tc>
          <w:tcPr>
            <w:tcW w:w="62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68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gridSpan w:val="3"/>
          </w:tcPr>
          <w:p>
            <w:pPr>
              <w:ind w:left="1700"/>
              <w:spacing w:after="0"/>
              <w:rPr>
                <w:sz w:val="20"/>
                <w:szCs w:val="20"/>
                <w:color w:val="auto"/>
              </w:rPr>
            </w:pPr>
            <w:r>
              <w:rPr>
                <w:rFonts w:ascii="Arial" w:cs="Arial" w:eastAsia="Arial" w:hAnsi="Arial"/>
                <w:sz w:val="16"/>
                <w:szCs w:val="16"/>
                <w:color w:val="auto"/>
              </w:rPr>
              <w:t>Payroll and payroll related expenses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18,255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6,126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3,107</w:t>
            </w:r>
          </w:p>
        </w:tc>
        <w:tc>
          <w:tcPr>
            <w:tcW w:w="2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right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3,027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820" w:type="dxa"/>
            <w:vAlign w:val="bottom"/>
            <w:gridSpan w:val="3"/>
          </w:tcPr>
          <w:p>
            <w:pPr>
              <w:ind w:left="1700"/>
              <w:spacing w:after="0"/>
              <w:rPr>
                <w:sz w:val="20"/>
                <w:szCs w:val="20"/>
                <w:color w:val="auto"/>
              </w:rPr>
            </w:pPr>
            <w:r>
              <w:rPr>
                <w:rFonts w:ascii="Arial" w:cs="Arial" w:eastAsia="Arial" w:hAnsi="Arial"/>
                <w:sz w:val="16"/>
                <w:szCs w:val="16"/>
                <w:color w:val="auto"/>
              </w:rPr>
              <w:t>Other current liabilities</w:t>
            </w:r>
          </w:p>
        </w:tc>
        <w:tc>
          <w:tcPr>
            <w:tcW w:w="62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22,176</w:t>
            </w:r>
          </w:p>
        </w:tc>
        <w:tc>
          <w:tcPr>
            <w:tcW w:w="6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9,704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Debt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term loan</w:t>
      </w:r>
    </w:p>
    <w:p>
      <w:pPr>
        <w:spacing w:after="0" w:line="131" w:lineRule="exact"/>
        <w:rPr>
          <w:sz w:val="20"/>
          <w:szCs w:val="20"/>
          <w:color w:val="auto"/>
        </w:rPr>
      </w:pPr>
    </w:p>
    <w:p>
      <w:pPr>
        <w:ind w:right="100" w:firstLine="510"/>
        <w:spacing w:after="0" w:line="292" w:lineRule="auto"/>
        <w:rPr>
          <w:sz w:val="20"/>
          <w:szCs w:val="20"/>
          <w:color w:val="auto"/>
        </w:rPr>
      </w:pPr>
      <w:r>
        <w:rPr>
          <w:rFonts w:ascii="Arial" w:cs="Arial" w:eastAsia="Arial" w:hAnsi="Arial"/>
          <w:sz w:val="15"/>
          <w:szCs w:val="15"/>
          <w:color w:val="auto"/>
        </w:rPr>
        <w:t>On October 27, 2017, we entered into a contingent convertible debt agreement (the “Convertible Term Loan”) with Silicon Valley Bank (“SVB”) providing for a term loan of $20.0 million. In conjunction with our IPO on August 5, 2020, the bank exercised its purchase right and repaid $1.1 million of previously paid principal. This balance, combined with the unpaid principal balance of $18.9 was converted into 2,179,360 shares of Series 1 common stock. No further borrowings are allowed under this convertible debt agreement. Interest was calculated on the outstanding principal, with interest payable monthly. The initial interest rate was equal to the prime rate and changes to a rate of prime plus 2.0% on and after January 1, 2020, a rate of prime plus 4.0% on and after January 1, 2021, and a rate of prime plus 6.0% on and after January 1, 2022. The weighted-average effective interest rate was 5.8%, 5.4% and 4.9% during the years ended December 31, 2020, 2019 and 2018. Quarterly principal payments of $125 thousand were due and payable from June 1, 2018 through maturity.</w:t>
      </w:r>
    </w:p>
    <w:p>
      <w:pPr>
        <w:spacing w:after="0" w:line="178"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6"/>
          <w:szCs w:val="16"/>
          <w:color w:val="auto"/>
        </w:rPr>
        <w:t>On February 28, 2020 we entered into a contingent convertible term loan (the “2020 Convertible Loan”) with SVB, providing for a convertible term loan in an amount of $35.0 million. In conjunction with our IPO on August 5, 2020, the outstanding principal balance of $35 million was converted into 3,070,174 shares of Series 1 common stock. No further borrowings are allowed under this convertible debt agreement. Interest was calculated on the outstanding principal, with interest payable monthly. The 2020 Convertible Term Loan bears interest at (a) 4.5% prior to January 1, 2022, (b) 6.5% from January 1, 2022 and prior to January 1, 2023, (c) 8.5% from January 1, 2023 and prior to January 1, 2024, and (d) 10.5% from and after January 1, 2024. The weighted-average effective interest rate was 4.0% for the year ended December 31, 2020.</w:t>
      </w:r>
    </w:p>
    <w:p>
      <w:pPr>
        <w:spacing w:after="0" w:line="194"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5"/>
          <w:szCs w:val="15"/>
          <w:color w:val="auto"/>
        </w:rPr>
        <w:t>In addition to the conversion shares on the outstanding principal, this instrument required a deficiency payment if the value of the conversion shares does not meet an applicable required minimum return of (a) 1.25 if converted within 18 months of the agreement, (b) 1.32 if converted between 18 months and 24 months, and (c) 1.55 if converted between 24 months and maturity. The deficiency payment, at the election of the holder, would be settled either (i) by issuance of additional shares of common stock equal to the difference between the minimum return and the conversion value or (ii) in cash in a single installment in the amount of such difference. Management determined that the required minimum return as defined above represented, in substance, an embedded lenders’ put option designed to provide the investor with a fixed monetary amount, settleable in either additional shares or cash. Management determined that this put option should be separated and accounted for as a derivative primarily because the put option met the net settlement criterion and the settlement provisions were not consistent with a fixed-for-fixed equity instrument. Based on the value of the conversion shares issued to the bank upon completion of the IPO, we met the required minimum return under terms of the 2020 Convertible Term Loan and were not required to provide any additional shares or cash.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6"/>
          <w:szCs w:val="16"/>
          <w:color w:val="auto"/>
        </w:rPr>
        <w:t>The put option, with an initial fair value of approximately $4.4 million, was recorded as a derivative liability on the accompanying balance sheet and a corresponding discount to the 2020 Convertible Term Loan. The discount was accreted to interest expense on the consolidated statement of operations over the term of the 2020 Convertible Term Loan using the effective interest method. The net balance outstanding under the terms of this agreement was netted against the outstanding principal balance upon conversion to Series 1 Common Stock upon completion of our IPO. We recorded interest expense related to this instrument of $0.4 during the year ended December 31, 2020.</w:t>
      </w:r>
    </w:p>
    <w:p>
      <w:pPr>
        <w:spacing w:after="0" w:line="122"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6"/>
          <w:szCs w:val="16"/>
          <w:color w:val="auto"/>
        </w:rPr>
        <w:t>The estimated fair value of the put option was determined using a multi-scenario probability weighted expected return method analysis in which the future probability of exit events was weighted for its respective probability. Key assumptions included time to exit event, fair value of common stock, and a discount rate. At March 31, 2020, we determined the put option had no fair value due to an increase in market conditions that would make any amounts due under the redemption feature remote. As a result, we recorded a gain in the amount of $4.4 million, which was recorded in the accompanying consolidated statements of operations. This instrument was extinguished upon the conversion of the 2020 Convertible Term Debt upon completion of our IPO.</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facility</w:t>
      </w:r>
    </w:p>
    <w:p>
      <w:pPr>
        <w:spacing w:after="0" w:line="131" w:lineRule="exact"/>
        <w:rPr>
          <w:sz w:val="20"/>
          <w:szCs w:val="20"/>
          <w:color w:val="auto"/>
        </w:rPr>
      </w:pPr>
    </w:p>
    <w:p>
      <w:pPr>
        <w:jc w:val="both"/>
        <w:ind w:firstLine="578"/>
        <w:spacing w:after="0" w:line="278" w:lineRule="auto"/>
        <w:rPr>
          <w:sz w:val="20"/>
          <w:szCs w:val="20"/>
          <w:color w:val="auto"/>
        </w:rPr>
      </w:pPr>
      <w:r>
        <w:rPr>
          <w:rFonts w:ascii="Arial" w:cs="Arial" w:eastAsia="Arial" w:hAnsi="Arial"/>
          <w:sz w:val="16"/>
          <w:szCs w:val="16"/>
          <w:color w:val="auto"/>
        </w:rPr>
        <w:t>On October 27, 2017, we amended and restated our loan and security agreement (as amended, the “Credit Facility”) with SVB. The Credit Facility provided a $20.0 million revolving line of credit (the “Revolving Line”) and a $5.0 million term loan (the “2018 Term Loan”). On June 4, 2019, we amended the Credit Facility to increase the Revolving Line by $5.0 million to $25.0 million.</w:t>
      </w:r>
    </w:p>
    <w:p>
      <w:pPr>
        <w:spacing w:after="0" w:line="184"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5"/>
          <w:szCs w:val="15"/>
          <w:color w:val="auto"/>
        </w:rPr>
        <w:t>On February 28, 2020, we amended and restated our loan and security agreement (the “A&amp;R Credit Facility”) with SVB. The A&amp;R Credit Facility reduces the amount available under the Revolving Line by $5.0 million to $20.0 million with a further reduction in availability to $10.0 million scheduled for September 30, 2020. On September 29, 2020, we entered into an agreement with SVB to defer the reduction in amounts available under the Revolving Line from $20.0 million to $10.0 million from September 30, 2020 to December 31, 2020. We accounted for the February 28, 2020 amendment and restatement transaction as an extinguishment of debt pursuant to ASC 470-50. We recorded an immaterial loss on extinguishment during the year period ended December 31, 2020.</w:t>
      </w:r>
    </w:p>
    <w:p>
      <w:pPr>
        <w:spacing w:after="0" w:line="68"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6"/>
          <w:szCs w:val="16"/>
          <w:color w:val="auto"/>
        </w:rPr>
        <w:t>The Revolving Line has a maturity date of October 27, 2021. The Revolving Line bore interest at a rate equal to the prime rate, and the weighted-average effective interest rate was 3.6%, 5.3% and 5.2% for the years ended December 31, 2020, 2019, and 2018, respectively. Interest is calculated on the outstanding principal and is payable monthly. We had no balance outstanding under terms of this agreement at December 31, 2020 and no further borrowings are allowed under this agreement. As of December 31, 2019, we had $18.5 million outstanding under the Revolving Line.</w:t>
      </w:r>
    </w:p>
    <w:p>
      <w:pPr>
        <w:spacing w:after="0" w:line="81" w:lineRule="exact"/>
        <w:rPr>
          <w:sz w:val="20"/>
          <w:szCs w:val="20"/>
          <w:color w:val="auto"/>
        </w:rPr>
      </w:pPr>
    </w:p>
    <w:p>
      <w:pPr>
        <w:jc w:val="both"/>
        <w:ind w:right="20" w:firstLine="578"/>
        <w:spacing w:after="0" w:line="271" w:lineRule="auto"/>
        <w:rPr>
          <w:sz w:val="20"/>
          <w:szCs w:val="20"/>
          <w:color w:val="auto"/>
        </w:rPr>
      </w:pPr>
      <w:r>
        <w:rPr>
          <w:rFonts w:ascii="Arial" w:cs="Arial" w:eastAsia="Arial" w:hAnsi="Arial"/>
          <w:sz w:val="16"/>
          <w:szCs w:val="16"/>
          <w:color w:val="auto"/>
        </w:rPr>
        <w:t>Borrowings from the 2018 Term Loan mature 36 months after each draw. The 2018 Term Loan bore interest at a rate equal to the prime rate plus 0.25% and, the weighted-average effective interest rate was 4.2%, 5.3%, and 5.2% for the years ended December 31, 2020, 2019 and 2018, respectively. Interest is calculated on the outstanding principal and is payable monthly. Monthly principal payments commenced on October 1, 2018 with a maturity date of October 1, 2021. The principal amortizes equally from the time of the draw to the maturity date. As of December 31 2020, we had no balance outstanding under terms of this agreement and no further borrowings are allowed. At December 31, 2019, we had $3.3 million outstanding under the 2018 Term Loan.</w:t>
      </w:r>
    </w:p>
    <w:p>
      <w:pPr>
        <w:spacing w:after="0" w:line="190"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6"/>
          <w:szCs w:val="16"/>
          <w:color w:val="auto"/>
        </w:rPr>
        <w:t>In conjunction with our entry into the A&amp;R Credit Facility, our financial covenants were amended. We are required to maintain a revenue growth rate of 118% each quarter compared to the same quarter in the prior year. The other covenant requires us to maintain a minimum liquidity ratio of 1.5:1. The liquidity ratio is calculated as unrestricted and unencumbered cash plus sixty percent of net accounts receivable to balance outstanding under the Revolving Line. Due to the repayment of the facilities, we had no compliance requirements as of December 31, 2020.</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Mezzanine Facility Loan</w:t>
      </w:r>
    </w:p>
    <w:p>
      <w:pPr>
        <w:spacing w:after="0" w:line="131"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6"/>
          <w:szCs w:val="16"/>
          <w:color w:val="auto"/>
        </w:rPr>
        <w:t>On February 28, 2020, we entered into a mezzanine loan and security agreement (the “Mezzanine Facility”) with WestRiver Innovation Lending Fund VIII, L.P. (“WestRiver”) providing for a term loan of $10.0 million. The Mezzanine Facility maturity date is March 1, 2023. Our obligations under the Mezzanine Facility are secured by substantially all of our assets. The Mezzanine Facility contains restrictive covenants, including limits on additional indebtedness, liens, asset dispositions, dividends, investments, and distributions. Borrowings under the Mezzanine Facility bear interest at the greater of (i) 10.0% or (ii) the prime rate then in effect plus 5.25%. Interest is calculated on the outstanding principal on a 360-day year basis, payable monthly. This agreement formally terminated on November 6, 2020 and there was no balance outstanding as of December 31, 2020.</w:t>
      </w:r>
    </w:p>
    <w:p>
      <w:pPr>
        <w:spacing w:after="0" w:line="86"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5"/>
          <w:szCs w:val="15"/>
          <w:color w:val="auto"/>
        </w:rPr>
        <w:t>In connection with the Mezzanine Facility, we issued warrants to purchase up to 99,000 shares of common stock with an exercise price of $9.21 per share with the warrants expiring on March 1, 2023. The warrant was exercisable for half of the shares. The warrant did not become exercisable for the remaining half of the shares because we did not draw down under the Mezzanine Facility and our ability to draw down under the Mezzanine Facility terminated. The portion of the warrant that was exercisable was exercised in August 2020 and the portion that did not become exercisable terminated upon the termination of the Mezzanine Facility.</w:t>
      </w:r>
    </w:p>
    <w:p>
      <w:pPr>
        <w:spacing w:after="0" w:line="172" w:lineRule="exact"/>
        <w:rPr>
          <w:sz w:val="20"/>
          <w:szCs w:val="20"/>
          <w:color w:val="auto"/>
        </w:rPr>
      </w:pPr>
    </w:p>
    <w:p>
      <w:pPr>
        <w:jc w:val="both"/>
        <w:ind w:firstLine="578"/>
        <w:spacing w:after="0" w:line="278" w:lineRule="auto"/>
        <w:rPr>
          <w:sz w:val="20"/>
          <w:szCs w:val="20"/>
          <w:color w:val="auto"/>
        </w:rPr>
      </w:pPr>
      <w:r>
        <w:rPr>
          <w:rFonts w:ascii="Arial" w:cs="Arial" w:eastAsia="Arial" w:hAnsi="Arial"/>
          <w:sz w:val="16"/>
          <w:szCs w:val="16"/>
          <w:color w:val="auto"/>
        </w:rPr>
        <w:t>Upon issuance of the warrants, we recorded the fair value of the first tranche of warrants at $0.3 million. The value of the warrants issued was recorded as a discount on the carrying value of the debt instruments, which was amortized to interest expense over the life of the debt instruments as an adjustment to (increase in) the effective interest rate.</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Debt fees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jc w:val="both"/>
        <w:ind w:right="20" w:firstLine="578"/>
        <w:spacing w:after="0" w:line="273" w:lineRule="auto"/>
        <w:rPr>
          <w:sz w:val="20"/>
          <w:szCs w:val="20"/>
          <w:color w:val="auto"/>
        </w:rPr>
      </w:pPr>
      <w:r>
        <w:rPr>
          <w:rFonts w:ascii="Arial" w:cs="Arial" w:eastAsia="Arial" w:hAnsi="Arial"/>
          <w:sz w:val="16"/>
          <w:szCs w:val="16"/>
          <w:color w:val="auto"/>
        </w:rPr>
        <w:t>Lender fees that were paid upfront to the lenders and debt issuance fees paid to third parties are recorded as a discount from the debt carrying amount and are being amortized to interest expense over the life of the debt. Interest expense related to debt discount amortization was not material for any of the periods presented. Due to the repayment of all outstanding debt obligations, there were no unamortized fees as of December 31, 2020. Net unamortized fees as of December 31, 2019 amounted to $0.9 million.</w:t>
      </w:r>
    </w:p>
    <w:p>
      <w:pPr>
        <w:spacing w:after="0" w:line="200" w:lineRule="exact"/>
        <w:rPr>
          <w:sz w:val="20"/>
          <w:szCs w:val="20"/>
          <w:color w:val="auto"/>
        </w:rPr>
      </w:pPr>
    </w:p>
    <w:p>
      <w:pPr>
        <w:spacing w:after="0" w:line="336" w:lineRule="exact"/>
        <w:rPr>
          <w:sz w:val="20"/>
          <w:szCs w:val="20"/>
          <w:color w:val="auto"/>
        </w:rPr>
      </w:pPr>
    </w:p>
    <w:p>
      <w:pPr>
        <w:ind w:right="9080" w:firstLine="8"/>
        <w:spacing w:after="0" w:line="536" w:lineRule="auto"/>
        <w:tabs>
          <w:tab w:leader="none" w:pos="162"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 (deficit) 2020 Equity incentive plan</w:t>
      </w:r>
    </w:p>
    <w:p>
      <w:pPr>
        <w:spacing w:after="0" w:line="108" w:lineRule="exact"/>
        <w:rPr>
          <w:sz w:val="20"/>
          <w:szCs w:val="20"/>
          <w:color w:val="auto"/>
        </w:rPr>
      </w:pPr>
    </w:p>
    <w:p>
      <w:pPr>
        <w:ind w:right="140" w:firstLine="464"/>
        <w:spacing w:after="0" w:line="335" w:lineRule="auto"/>
        <w:rPr>
          <w:sz w:val="20"/>
          <w:szCs w:val="20"/>
          <w:color w:val="auto"/>
        </w:rPr>
      </w:pPr>
      <w:r>
        <w:rPr>
          <w:rFonts w:ascii="Arial" w:cs="Arial" w:eastAsia="Arial" w:hAnsi="Arial"/>
          <w:sz w:val="14"/>
          <w:szCs w:val="14"/>
          <w:color w:val="auto"/>
        </w:rPr>
        <w:t>In July 2020, our board of directors approved the 2020 Equity Incentive Plan, or 2020 Plan, under which stock options, stock appreciation rights, restricted stock, restricted stock units, performance shares and units and other cash-based or stock-based awards may be granted to employees, consultants and directors. Shares of common stock that are issued and available for issuance under the 2020 Plan consist of authorized, but unissued or reacquired shares of common stock or any combination thereof.</w:t>
      </w:r>
    </w:p>
    <w:p>
      <w:pPr>
        <w:spacing w:after="0" w:line="136" w:lineRule="exact"/>
        <w:rPr>
          <w:sz w:val="20"/>
          <w:szCs w:val="20"/>
          <w:color w:val="auto"/>
        </w:rPr>
      </w:pPr>
    </w:p>
    <w:p>
      <w:pPr>
        <w:ind w:right="20" w:firstLine="468"/>
        <w:spacing w:after="0" w:line="302" w:lineRule="auto"/>
        <w:rPr>
          <w:sz w:val="20"/>
          <w:szCs w:val="20"/>
          <w:color w:val="auto"/>
        </w:rPr>
      </w:pPr>
      <w:r>
        <w:rPr>
          <w:rFonts w:ascii="Arial" w:cs="Arial" w:eastAsia="Arial" w:hAnsi="Arial"/>
          <w:sz w:val="14"/>
          <w:szCs w:val="14"/>
          <w:color w:val="auto"/>
        </w:rPr>
        <w:t>A total of 3,873,885 shares of our Series 1 common stock was initially authorized and reserved for issuance under the 2020 Plan. This reserve will automatically increase on January 1, 2021, and each subsequent anniversary through and including January 1, 2031, by an amount equal to the smaller of (a) 5% of the number of shares of Series 1 and Series 2 common stock issued and outstanding on the immediately preceding December 31 and (b) an amount determined by our board of directors. In addition, this reserve will be increased to include up to 10,330,304 shares that remained available for grant under our 2013 Plan upon its termination or that are subject to awards granted under our 2013 Plan that expire or terminate without having been exercised or settled in full. As of December 31, 2020, a total of 14,204,189 shares were allocated for issuance under the 2020 Plan. As of December 31, 2020, options to purchase a total of 9,182,043 shares of common stock, have been granted under the 2020</w:t>
      </w:r>
    </w:p>
    <w:p>
      <w:pPr>
        <w:spacing w:after="0" w:line="3" w:lineRule="exact"/>
        <w:rPr>
          <w:sz w:val="20"/>
          <w:szCs w:val="20"/>
          <w:color w:val="auto"/>
        </w:rPr>
      </w:pPr>
    </w:p>
    <w:p>
      <w:pPr>
        <w:jc w:val="both"/>
        <w:ind w:right="360"/>
        <w:spacing w:after="0" w:line="276" w:lineRule="auto"/>
        <w:rPr>
          <w:sz w:val="20"/>
          <w:szCs w:val="20"/>
          <w:color w:val="auto"/>
        </w:rPr>
      </w:pPr>
      <w:r>
        <w:rPr>
          <w:rFonts w:ascii="Arial" w:cs="Arial" w:eastAsia="Arial" w:hAnsi="Arial"/>
          <w:sz w:val="16"/>
          <w:szCs w:val="16"/>
          <w:color w:val="auto"/>
        </w:rPr>
        <w:t>Plan, 1,407,811 shares, have been reserved under the 2020 Plan for the vesting of restricted stock units and market stock units, 181,750 shares have been returned to the 2020 Plan as a result of termination of options that expired or terminated without having been exercised and restricted stock awards that terminated prior to the awards vesting, and 3,796,085 shares of common stock remain available for future issuance under the 2020 Plan.</w:t>
      </w:r>
    </w:p>
    <w:p>
      <w:pPr>
        <w:spacing w:after="0" w:line="387"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In February 2013, we adopted the 2013 Plan under which stock options may be granted to employees, consultants and directors. Upon the completion of our IPO in August 2020, the board of directors terminated the 2013 Plan and all shares that were available for future issuance under the 2013 Plan at such time were transferred to the 2020 Plan. The 2020 Plan will continue to govern the terms and conditions of all outstanding equity awards granted under the 2013 Plan. As of December 31, 2020, no shares remain available for future issuance under the 2013 Plan.</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31" w:lineRule="exact"/>
        <w:rPr>
          <w:sz w:val="20"/>
          <w:szCs w:val="20"/>
          <w:color w:val="auto"/>
        </w:rPr>
      </w:pPr>
    </w:p>
    <w:p>
      <w:pPr>
        <w:ind w:right="60" w:firstLine="510"/>
        <w:spacing w:after="0" w:line="292" w:lineRule="auto"/>
        <w:rPr>
          <w:sz w:val="20"/>
          <w:szCs w:val="20"/>
          <w:color w:val="auto"/>
        </w:rPr>
      </w:pPr>
      <w:r>
        <w:rPr>
          <w:rFonts w:ascii="Arial" w:cs="Arial" w:eastAsia="Arial" w:hAnsi="Arial"/>
          <w:sz w:val="15"/>
          <w:szCs w:val="15"/>
          <w:color w:val="auto"/>
        </w:rPr>
        <w:t>We use the Black-Scholes option-pricing model to estimate the fair value of our share-based payment awards. The Black-Scholes option-pricing model requires estimates regarding the risk-free rate of return, dividend yields, expected life of the award, and estimated forfeitures of awards during the service period. The calculation of expected volatility is based on historical volatility for comparable industry peer groups over periods of time equivalent to the expected life of each stock option grant. As we do not have a significant history as a publicly traded company, we believe that comparable industry peer groups provide a reasonable measurement of volatility in order to calculate a reasonable estimate of fair value of each stock award. The expected term is calculated based on the weighted average of the remaining vesting term and the remaining contractual life of each award. We based the estimate of risk-free rate on the U.S. Treasury yield curve in effect at the time of grant or modification. We have never paid cash dividends and do not currently intend to pay cash dividends, and thus have assumed a dividend yield of zero.</w:t>
      </w:r>
    </w:p>
    <w:p>
      <w:pPr>
        <w:spacing w:after="0" w:line="178" w:lineRule="exact"/>
        <w:rPr>
          <w:sz w:val="20"/>
          <w:szCs w:val="20"/>
          <w:color w:val="auto"/>
        </w:rPr>
      </w:pPr>
    </w:p>
    <w:p>
      <w:pPr>
        <w:ind w:right="260" w:firstLine="749"/>
        <w:spacing w:after="0" w:line="273" w:lineRule="auto"/>
        <w:rPr>
          <w:sz w:val="20"/>
          <w:szCs w:val="20"/>
          <w:color w:val="auto"/>
        </w:rPr>
      </w:pPr>
      <w:r>
        <w:rPr>
          <w:rFonts w:ascii="Arial" w:cs="Arial" w:eastAsia="Arial" w:hAnsi="Arial"/>
          <w:sz w:val="16"/>
          <w:szCs w:val="16"/>
          <w:color w:val="auto"/>
        </w:rPr>
        <w:t>Subsequent to our IPO on August 4, 2020, we utilize the quoted market price for our stock on the grant date in the fair value calculation. Prior to our IPO, we estimated the fair value of common stock at the time of grant of the option by considering a number of objective and subjective factors, including independent third-party valuations of our common stock, operating and financial performance, the lack of liquidity of capital stock, and general and industry-specific economic outlook, among other factors.</w:t>
      </w:r>
    </w:p>
    <w:p>
      <w:pPr>
        <w:spacing w:after="0" w:line="175" w:lineRule="exact"/>
        <w:rPr>
          <w:sz w:val="20"/>
          <w:szCs w:val="20"/>
          <w:color w:val="auto"/>
        </w:rPr>
      </w:pPr>
    </w:p>
    <w:p>
      <w:pPr>
        <w:ind w:right="260" w:firstLine="510"/>
        <w:spacing w:after="0" w:line="305" w:lineRule="auto"/>
        <w:rPr>
          <w:sz w:val="20"/>
          <w:szCs w:val="20"/>
          <w:color w:val="auto"/>
        </w:rPr>
      </w:pPr>
      <w:r>
        <w:rPr>
          <w:rFonts w:ascii="Arial" w:cs="Arial" w:eastAsia="Arial" w:hAnsi="Arial"/>
          <w:sz w:val="15"/>
          <w:szCs w:val="15"/>
          <w:color w:val="auto"/>
        </w:rPr>
        <w:t>We estimate potential forfeitures of stock grants and adjust compensation cost recorded accordingly.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stock compensation expense to be recognized in future periods.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weighted-average grant date value of options and the assumptions used to develop their fair value.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260" w:type="dxa"/>
            <w:vAlign w:val="bottom"/>
            <w:tcBorders>
              <w:bottom w:val="single" w:sz="8" w:color="CFF0FC"/>
            </w:tcBorders>
          </w:tcPr>
          <w:p>
            <w:pPr>
              <w:spacing w:after="0"/>
              <w:rPr>
                <w:sz w:val="12"/>
                <w:szCs w:val="12"/>
                <w:color w:val="auto"/>
              </w:rPr>
            </w:pPr>
          </w:p>
        </w:tc>
        <w:tc>
          <w:tcPr>
            <w:tcW w:w="10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82"/>
              <w:spacing w:after="0" w:line="142"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684"/>
              <w:spacing w:after="0" w:line="14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82"/>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grant date fair value of options</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0.34%—0.84%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6"/>
                <w:szCs w:val="16"/>
                <w:color w:val="auto"/>
              </w:rPr>
              <w:t>1.51%—2.53%</w:t>
            </w:r>
          </w:p>
        </w:tc>
        <w:tc>
          <w:tcPr>
            <w:tcW w:w="3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2.43%—3.09%</w:t>
            </w:r>
          </w:p>
        </w:tc>
        <w:tc>
          <w:tcPr>
            <w:tcW w:w="20" w:type="dxa"/>
            <w:vAlign w:val="bottom"/>
          </w:tcPr>
          <w:p>
            <w:pPr>
              <w:spacing w:after="0"/>
              <w:rPr>
                <w:sz w:val="18"/>
                <w:szCs w:val="18"/>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49.64%—51.49%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46.70%—47.87%</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47.22%—49.13%</w:t>
            </w:r>
          </w:p>
        </w:tc>
        <w:tc>
          <w:tcPr>
            <w:tcW w:w="20" w:type="dxa"/>
            <w:vAlign w:val="bottom"/>
          </w:tcPr>
          <w:p>
            <w:pPr>
              <w:spacing w:after="0"/>
              <w:rPr>
                <w:sz w:val="19"/>
                <w:szCs w:val="19"/>
                <w:color w:val="auto"/>
              </w:rPr>
            </w:pPr>
          </w:p>
        </w:tc>
      </w:tr>
      <w:tr>
        <w:trPr>
          <w:trHeight w:val="213"/>
        </w:trPr>
        <w:tc>
          <w:tcPr>
            <w:tcW w:w="4260" w:type="dxa"/>
            <w:vAlign w:val="bottom"/>
          </w:tcPr>
          <w:p>
            <w:pPr>
              <w:spacing w:after="0"/>
              <w:rPr>
                <w:sz w:val="20"/>
                <w:szCs w:val="20"/>
                <w:color w:val="auto"/>
              </w:rPr>
            </w:pPr>
            <w:r>
              <w:rPr>
                <w:rFonts w:ascii="Arial" w:cs="Arial" w:eastAsia="Arial" w:hAnsi="Arial"/>
                <w:sz w:val="16"/>
                <w:szCs w:val="16"/>
                <w:color w:val="auto"/>
              </w:rPr>
              <w:t>Expected life in years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5.49—6.10 years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ind w:left="500"/>
              <w:spacing w:after="0"/>
              <w:rPr>
                <w:sz w:val="20"/>
                <w:szCs w:val="20"/>
                <w:color w:val="auto"/>
              </w:rPr>
            </w:pPr>
            <w:r>
              <w:rPr>
                <w:rFonts w:ascii="Arial" w:cs="Arial" w:eastAsia="Arial" w:hAnsi="Arial"/>
                <w:sz w:val="16"/>
                <w:szCs w:val="16"/>
                <w:color w:val="auto"/>
              </w:rPr>
              <w:t>5.52—6.08 years</w:t>
            </w:r>
          </w:p>
        </w:tc>
        <w:tc>
          <w:tcPr>
            <w:tcW w:w="3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Arial" w:cs="Arial" w:eastAsia="Arial" w:hAnsi="Arial"/>
                <w:sz w:val="16"/>
                <w:szCs w:val="16"/>
                <w:color w:val="auto"/>
              </w:rPr>
              <w:t>5.00—6.08 years</w:t>
            </w:r>
          </w:p>
        </w:tc>
        <w:tc>
          <w:tcPr>
            <w:tcW w:w="20" w:type="dxa"/>
            <w:vAlign w:val="bottom"/>
          </w:tcPr>
          <w:p>
            <w:pPr>
              <w:spacing w:after="0"/>
              <w:rPr>
                <w:sz w:val="18"/>
                <w:szCs w:val="18"/>
                <w:color w:val="auto"/>
              </w:rPr>
            </w:pPr>
          </w:p>
        </w:tc>
      </w:tr>
      <w:tr>
        <w:trPr>
          <w:trHeight w:val="219"/>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r>
      <w:tr>
        <w:trPr>
          <w:trHeight w:val="412"/>
        </w:trPr>
        <w:tc>
          <w:tcPr>
            <w:tcW w:w="4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182"/>
              <w:spacing w:after="0"/>
              <w:rPr>
                <w:sz w:val="20"/>
                <w:szCs w:val="20"/>
                <w:color w:val="auto"/>
              </w:rPr>
            </w:pPr>
            <w:r>
              <w:rPr>
                <w:rFonts w:ascii="Arial" w:cs="Arial" w:eastAsia="Arial" w:hAnsi="Arial"/>
                <w:sz w:val="16"/>
                <w:szCs w:val="16"/>
                <w:color w:val="auto"/>
              </w:rPr>
              <w:t>F-18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changes in common stock options issued under all of the existing stock option plans is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Weighted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Weighted</w:t>
            </w: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average of</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2"/>
              </w:rPr>
              <w:t>average of</w:t>
            </w: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remaining term</w:t>
            </w: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Aggregate</w:t>
            </w:r>
          </w:p>
        </w:tc>
        <w:tc>
          <w:tcPr>
            <w:tcW w:w="0" w:type="dxa"/>
            <w:vAlign w:val="bottom"/>
          </w:tcPr>
          <w:p>
            <w:pPr>
              <w:spacing w:after="0"/>
              <w:rPr>
                <w:sz w:val="1"/>
                <w:szCs w:val="1"/>
                <w:color w:val="auto"/>
              </w:rPr>
            </w:pPr>
          </w:p>
        </w:tc>
      </w:tr>
      <w:tr>
        <w:trPr>
          <w:trHeight w:val="153"/>
        </w:trPr>
        <w:tc>
          <w:tcPr>
            <w:tcW w:w="4860" w:type="dxa"/>
            <w:vAlign w:val="bottom"/>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13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2"/>
              </w:rPr>
              <w:t>exercise prices</w:t>
            </w: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(years)</w:t>
            </w:r>
          </w:p>
        </w:tc>
        <w:tc>
          <w:tcPr>
            <w:tcW w:w="12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intrinsic value</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outstanding at December 31,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2,266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(1,099)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outstanding at December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65,294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6"/>
                <w:szCs w:val="16"/>
                <w:color w:val="auto"/>
              </w:rPr>
              <w:t>Granted</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14.85</w:t>
            </w:r>
          </w:p>
        </w:tc>
        <w:tc>
          <w:tcPr>
            <w:tcW w:w="2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(2,053)</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Options outstanding at December 31,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491,648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line="240" w:lineRule="exact"/>
              <w:rPr>
                <w:sz w:val="20"/>
                <w:szCs w:val="20"/>
                <w:color w:val="auto"/>
              </w:rPr>
            </w:pPr>
            <w:r>
              <w:rPr>
                <w:rFonts w:ascii="Arial" w:cs="Arial" w:eastAsia="Arial" w:hAnsi="Arial"/>
                <w:sz w:val="16"/>
                <w:szCs w:val="16"/>
                <w:color w:val="auto"/>
              </w:rPr>
              <w:t>Vested and expected to vest at December 31, 2020</w:t>
            </w:r>
            <w:r>
              <w:rPr>
                <w:rFonts w:ascii="Arial" w:cs="Arial" w:eastAsia="Arial" w:hAnsi="Arial"/>
                <w:sz w:val="27"/>
                <w:szCs w:val="27"/>
                <w:color w:val="auto"/>
                <w:vertAlign w:val="superscript"/>
              </w:rPr>
              <w:t>(1)</w:t>
            </w: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60" w:type="dxa"/>
            <w:vAlign w:val="bottom"/>
            <w:tcBorders>
              <w:bottom w:val="single" w:sz="8" w:color="CFF0FC"/>
            </w:tcBorders>
            <w:vMerge w:val="continue"/>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7,578</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2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456,531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Vested at December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4,072</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6.85</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253,117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expected-to-vest options are the result of applying the pre-vesting forfeiture rate to outstanding options.</w:t>
      </w:r>
    </w:p>
    <w:p>
      <w:pPr>
        <w:spacing w:after="0" w:line="235"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The total intrinsic value of options exercised during the years ended December 31, 2020, 2019 and 2018 was $72.4 million, $5.6 million and $2.6 million, respectively. The intrinsic value was calculated as the difference between the estimated fair value of our common stock at exercise, and the exercise price of the in-the-money options. The weighted-average grant date fair value of options granted during the years ended December 31, 2020, 2019 and 2018 was $9.6 million, $8.1 million and $6.3 million, respectively.</w:t>
      </w:r>
    </w:p>
    <w:p>
      <w:pPr>
        <w:spacing w:after="0" w:line="18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At December 31, 2020, 2019 and 2018, there was an estimated $11.4 million, $9.4 million and $6.2 million, respectively, of total unrecognized compensation costs related to stock options. These costs will be recognized over a weighted-average period of three years.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May 2020, we issued RSUs and PSUs to certain employees. A summary of activity during the year ended December 31, 2020 is presented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Weighted</w:t>
            </w:r>
          </w:p>
        </w:tc>
      </w:tr>
      <w:tr>
        <w:trPr>
          <w:trHeight w:val="135"/>
        </w:trPr>
        <w:tc>
          <w:tcPr>
            <w:tcW w:w="7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average grant date</w:t>
            </w:r>
          </w:p>
        </w:tc>
      </w:tr>
      <w:tr>
        <w:trPr>
          <w:trHeight w:val="153"/>
        </w:trPr>
        <w:tc>
          <w:tcPr>
            <w:tcW w:w="738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172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66"/>
              <w:spacing w:after="0"/>
              <w:rPr>
                <w:sz w:val="20"/>
                <w:szCs w:val="20"/>
                <w:color w:val="auto"/>
              </w:rPr>
            </w:pPr>
            <w:r>
              <w:rPr>
                <w:rFonts w:ascii="Arial" w:cs="Arial" w:eastAsia="Arial" w:hAnsi="Arial"/>
                <w:sz w:val="13"/>
                <w:szCs w:val="13"/>
                <w:b w:val="1"/>
                <w:bCs w:val="1"/>
                <w:color w:val="auto"/>
                <w:w w:val="91"/>
              </w:rPr>
              <w:t>fair value</w:t>
            </w:r>
          </w:p>
        </w:tc>
        <w:tc>
          <w:tcPr>
            <w:tcW w:w="100" w:type="dxa"/>
            <w:vAlign w:val="bottom"/>
            <w:tcBorders>
              <w:bottom w:val="single" w:sz="8" w:color="CFF0FC"/>
            </w:tcBorders>
          </w:tcPr>
          <w:p>
            <w:pPr>
              <w:spacing w:after="0"/>
              <w:rPr>
                <w:sz w:val="13"/>
                <w:szCs w:val="13"/>
                <w:color w:val="auto"/>
              </w:rPr>
            </w:pPr>
          </w:p>
        </w:tc>
      </w:tr>
      <w:tr>
        <w:trPr>
          <w:trHeight w:val="210"/>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Nonvested at December 31, 2019</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Pr>
          <w:p>
            <w:pPr>
              <w:spacing w:after="0"/>
              <w:rPr>
                <w:sz w:val="18"/>
                <w:szCs w:val="18"/>
                <w:color w:val="auto"/>
              </w:rPr>
            </w:pPr>
          </w:p>
        </w:tc>
      </w:tr>
      <w:tr>
        <w:trPr>
          <w:trHeight w:val="219"/>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Cancelled/Forfeited/Expired</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2020</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20" w:firstLine="749"/>
        <w:spacing w:after="0" w:line="287" w:lineRule="auto"/>
        <w:rPr>
          <w:sz w:val="20"/>
          <w:szCs w:val="20"/>
          <w:color w:val="auto"/>
        </w:rPr>
      </w:pPr>
      <w:r>
        <w:rPr>
          <w:rFonts w:ascii="Arial" w:cs="Arial" w:eastAsia="Arial" w:hAnsi="Arial"/>
          <w:sz w:val="16"/>
          <w:szCs w:val="16"/>
          <w:color w:val="auto"/>
        </w:rPr>
        <w:t>During the year ended December 31, 2020, we granted 192 RSUs to members of management and certain other employees pursuant to the 2020 Plan. The fair value of the RSU grant is determined based upon the market closing price of our common stock on the date of grant. The RSUs vest over the requisite service period of 4 years, subject to the continued employment of the employees.</w:t>
      </w:r>
    </w:p>
    <w:p>
      <w:pPr>
        <w:spacing w:after="0" w:line="163" w:lineRule="exact"/>
        <w:rPr>
          <w:sz w:val="20"/>
          <w:szCs w:val="20"/>
          <w:color w:val="auto"/>
        </w:rPr>
      </w:pPr>
    </w:p>
    <w:p>
      <w:pPr>
        <w:ind w:right="620" w:firstLine="749"/>
        <w:spacing w:after="0" w:line="293" w:lineRule="auto"/>
        <w:rPr>
          <w:sz w:val="20"/>
          <w:szCs w:val="20"/>
          <w:color w:val="auto"/>
        </w:rPr>
      </w:pPr>
      <w:r>
        <w:rPr>
          <w:rFonts w:ascii="Arial" w:cs="Arial" w:eastAsia="Arial" w:hAnsi="Arial"/>
          <w:sz w:val="16"/>
          <w:szCs w:val="16"/>
          <w:color w:val="auto"/>
        </w:rPr>
        <w:t>At December 31, 2020, there was an estimated $10.4 million of total unrecognized stock-based compensation costs related to RSUs. These costs will be recognized over a weighted-average period of 3.7 years.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restricted stock units</w:t>
      </w:r>
    </w:p>
    <w:p>
      <w:pPr>
        <w:spacing w:after="0" w:line="239" w:lineRule="exact"/>
        <w:rPr>
          <w:sz w:val="20"/>
          <w:szCs w:val="20"/>
          <w:color w:val="auto"/>
        </w:rPr>
      </w:pPr>
    </w:p>
    <w:p>
      <w:pPr>
        <w:ind w:right="80" w:firstLine="510"/>
        <w:spacing w:after="0" w:line="278" w:lineRule="auto"/>
        <w:rPr>
          <w:sz w:val="20"/>
          <w:szCs w:val="20"/>
          <w:color w:val="auto"/>
        </w:rPr>
      </w:pPr>
      <w:r>
        <w:rPr>
          <w:rFonts w:ascii="Arial" w:cs="Arial" w:eastAsia="Arial" w:hAnsi="Arial"/>
          <w:sz w:val="16"/>
          <w:szCs w:val="16"/>
          <w:color w:val="auto"/>
        </w:rPr>
        <w:t>During the year ended December 31, 2020, we granted 1,216 PSUs to members of management pursuant to the 2013 Plan. These PSUS contained a performance clause which required us to successfully complete an IPO as well as a service condition that required continued employment. These PSUs vest on a tranche by tranche basis over the life of the service period of 1-4 years.</w:t>
      </w:r>
    </w:p>
    <w:p>
      <w:pPr>
        <w:spacing w:after="0" w:line="184" w:lineRule="exact"/>
        <w:rPr>
          <w:sz w:val="20"/>
          <w:szCs w:val="20"/>
          <w:color w:val="auto"/>
        </w:rPr>
      </w:pPr>
    </w:p>
    <w:p>
      <w:pPr>
        <w:ind w:right="520" w:firstLine="510"/>
        <w:spacing w:after="0" w:line="293" w:lineRule="auto"/>
        <w:rPr>
          <w:sz w:val="20"/>
          <w:szCs w:val="20"/>
          <w:color w:val="auto"/>
        </w:rPr>
      </w:pPr>
      <w:r>
        <w:rPr>
          <w:rFonts w:ascii="Arial" w:cs="Arial" w:eastAsia="Arial" w:hAnsi="Arial"/>
          <w:sz w:val="16"/>
          <w:szCs w:val="16"/>
          <w:color w:val="auto"/>
        </w:rPr>
        <w:t>At December 31, 2020, there was an estimated $10.4 million of total unrecognized stock-based compensation costs related to these PSUs. These costs will be recognized over a weighted-average period of 1.9 years.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w w:val="99"/>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6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20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2"/>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Sales and marketing</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2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2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FF0FC"/>
            </w:tcBorders>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Total stock-based compensation expense</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FF0FC"/>
          </w:tcPr>
          <w:p>
            <w:pPr>
              <w:spacing w:after="0"/>
              <w:rPr>
                <w:sz w:val="18"/>
                <w:szCs w:val="18"/>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preferred stock</w:t>
      </w:r>
    </w:p>
    <w:p>
      <w:pPr>
        <w:spacing w:after="0" w:line="131" w:lineRule="exact"/>
        <w:rPr>
          <w:sz w:val="20"/>
          <w:szCs w:val="20"/>
          <w:color w:val="auto"/>
        </w:rPr>
      </w:pPr>
    </w:p>
    <w:p>
      <w:pPr>
        <w:ind w:right="140" w:firstLine="749"/>
        <w:spacing w:after="0" w:line="315" w:lineRule="auto"/>
        <w:rPr>
          <w:sz w:val="20"/>
          <w:szCs w:val="20"/>
          <w:color w:val="auto"/>
        </w:rPr>
      </w:pPr>
      <w:r>
        <w:rPr>
          <w:rFonts w:ascii="Arial" w:cs="Arial" w:eastAsia="Arial" w:hAnsi="Arial"/>
          <w:sz w:val="14"/>
          <w:szCs w:val="14"/>
          <w:color w:val="auto"/>
        </w:rPr>
        <w:t>As of December 31, 2019, we had six outstanding series of redeemable convertible preferred stock. These preferred shares were classified as temporary equity within our consolidated balance sheet as of December 31, 2019. Immediately upon closing of our IPO, the outstanding preferred stock was automatically converted into an aggregate of 29,390,733 shares of Series 1 common stock and 5,050,555 shares of Series 2 common stock. Under the terms of Series F preferred stock, dividends were required to be paid at 10 percent, which could be adjusted for the holder’s actual rate of return upon redemption. Upon completion of our IPO with an offering price of $24 per share, we met the threshold for a reduction of dividends and reduced the required dividend rate to 8 percent. We utilized a portion of the proceeds from the IPO to pay the cumulative dividends of $12.8 million to the holders of our Series F preferred stock. As of December 31, 2020, there was no preferred stock issued or outstanding.</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Pretax earnings from continuing operations consist of the following:</w:t>
      </w:r>
    </w:p>
    <w:p>
      <w:pPr>
        <w:spacing w:after="0" w:line="321"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60" w:type="dxa"/>
            <w:vAlign w:val="bottom"/>
            <w:gridSpan w:val="2"/>
          </w:tcPr>
          <w:p>
            <w:pPr>
              <w:ind w:left="620"/>
              <w:spacing w:after="0" w:line="142" w:lineRule="exact"/>
              <w:rPr>
                <w:sz w:val="20"/>
                <w:szCs w:val="20"/>
                <w:color w:val="auto"/>
              </w:rPr>
            </w:pPr>
            <w:r>
              <w:rPr>
                <w:rFonts w:ascii="Arial" w:cs="Arial" w:eastAsia="Arial" w:hAnsi="Arial"/>
                <w:sz w:val="13"/>
                <w:szCs w:val="13"/>
                <w:i w:val="1"/>
                <w:iCs w:val="1"/>
                <w:color w:val="auto"/>
              </w:rPr>
              <w:t>(in thousands)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44"/>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United States</w:t>
            </w: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(31,891)</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(38,720)</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(38,471)</w:t>
            </w:r>
          </w:p>
        </w:tc>
        <w:tc>
          <w:tcPr>
            <w:tcW w:w="0" w:type="dxa"/>
            <w:vAlign w:val="bottom"/>
          </w:tcPr>
          <w:p>
            <w:pPr>
              <w:spacing w:after="0"/>
              <w:rPr>
                <w:sz w:val="1"/>
                <w:szCs w:val="1"/>
                <w:color w:val="auto"/>
              </w:rPr>
            </w:pPr>
          </w:p>
        </w:tc>
      </w:tr>
      <w:tr>
        <w:trPr>
          <w:trHeight w:val="213"/>
        </w:trPr>
        <w:tc>
          <w:tcPr>
            <w:tcW w:w="5060" w:type="dxa"/>
            <w:vAlign w:val="bottom"/>
            <w:gridSpan w:val="2"/>
          </w:tcPr>
          <w:p>
            <w:pPr>
              <w:ind w:left="620"/>
              <w:spacing w:after="0"/>
              <w:rPr>
                <w:sz w:val="20"/>
                <w:szCs w:val="20"/>
                <w:color w:val="auto"/>
              </w:rPr>
            </w:pPr>
            <w:r>
              <w:rPr>
                <w:rFonts w:ascii="Arial" w:cs="Arial" w:eastAsia="Arial" w:hAnsi="Arial"/>
                <w:sz w:val="16"/>
                <w:szCs w:val="16"/>
                <w:color w:val="auto"/>
              </w:rPr>
              <w:t>Non-U.S.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(3,842)</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pre-tax earnings</w:t>
            </w: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(37,535)</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(42,562)</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(38,868)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6"/>
                <w:szCs w:val="16"/>
                <w:color w:val="auto"/>
              </w:rPr>
              <w:t>Our components of the provision for income taxes are as follows:</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0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gridSpan w:val="2"/>
          </w:tcPr>
          <w:p>
            <w:pPr>
              <w:ind w:left="620"/>
              <w:spacing w:after="0" w:line="142" w:lineRule="exact"/>
              <w:rPr>
                <w:sz w:val="20"/>
                <w:szCs w:val="20"/>
                <w:color w:val="auto"/>
              </w:rPr>
            </w:pPr>
            <w:r>
              <w:rPr>
                <w:rFonts w:ascii="Arial" w:cs="Arial" w:eastAsia="Arial" w:hAnsi="Arial"/>
                <w:sz w:val="13"/>
                <w:szCs w:val="13"/>
                <w:i w:val="1"/>
                <w:iCs w:val="1"/>
                <w:color w:val="auto"/>
              </w:rPr>
              <w:t>(in thousands)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44"/>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provision (benefit)</w:t>
            </w: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Current: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Federal</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Pr>
          <w:p>
            <w:pPr>
              <w:ind w:left="480"/>
              <w:spacing w:after="0"/>
              <w:rPr>
                <w:sz w:val="20"/>
                <w:szCs w:val="20"/>
                <w:color w:val="auto"/>
              </w:rPr>
            </w:pPr>
            <w:r>
              <w:rPr>
                <w:rFonts w:ascii="Arial" w:cs="Arial" w:eastAsia="Arial" w:hAnsi="Arial"/>
                <w:sz w:val="16"/>
                <w:szCs w:val="16"/>
                <w:color w:val="auto"/>
              </w:rPr>
              <w:t>State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Foreign</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440" w:type="dxa"/>
            <w:vAlign w:val="bottom"/>
          </w:tcPr>
          <w:p>
            <w:pPr>
              <w:ind w:left="740"/>
              <w:spacing w:after="0"/>
              <w:rPr>
                <w:sz w:val="20"/>
                <w:szCs w:val="20"/>
                <w:color w:val="auto"/>
              </w:rPr>
            </w:pPr>
            <w:r>
              <w:rPr>
                <w:rFonts w:ascii="Arial" w:cs="Arial" w:eastAsia="Arial" w:hAnsi="Arial"/>
                <w:sz w:val="16"/>
                <w:szCs w:val="16"/>
                <w:color w:val="auto"/>
              </w:rPr>
              <w:t>Total current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w:t>
            </w: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Pr>
          <w:p>
            <w:pPr>
              <w:ind w:left="480"/>
              <w:spacing w:after="0"/>
              <w:rPr>
                <w:sz w:val="20"/>
                <w:szCs w:val="20"/>
                <w:color w:val="auto"/>
              </w:rPr>
            </w:pPr>
            <w:r>
              <w:rPr>
                <w:rFonts w:ascii="Arial" w:cs="Arial" w:eastAsia="Arial" w:hAnsi="Arial"/>
                <w:sz w:val="16"/>
                <w:szCs w:val="16"/>
                <w:color w:val="auto"/>
              </w:rPr>
              <w:t>Federal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State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Foreign</w:t>
            </w:r>
          </w:p>
        </w:tc>
        <w:tc>
          <w:tcPr>
            <w:tcW w:w="8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deferred</w:t>
            </w:r>
          </w:p>
        </w:tc>
        <w:tc>
          <w:tcPr>
            <w:tcW w:w="8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60" w:type="dxa"/>
            <w:vAlign w:val="bottom"/>
            <w:gridSpan w:val="2"/>
          </w:tcPr>
          <w:p>
            <w:pPr>
              <w:ind w:left="620"/>
              <w:spacing w:after="0"/>
              <w:rPr>
                <w:sz w:val="20"/>
                <w:szCs w:val="20"/>
                <w:color w:val="auto"/>
              </w:rPr>
            </w:pPr>
            <w:r>
              <w:rPr>
                <w:rFonts w:ascii="Arial" w:cs="Arial" w:eastAsia="Arial" w:hAnsi="Arial"/>
                <w:sz w:val="16"/>
                <w:szCs w:val="16"/>
                <w:color w:val="auto"/>
              </w:rPr>
              <w:t>Total provision (benefit)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0" w:firstLine="510"/>
        <w:spacing w:after="0" w:line="297" w:lineRule="auto"/>
        <w:rPr>
          <w:sz w:val="20"/>
          <w:szCs w:val="20"/>
          <w:color w:val="auto"/>
        </w:rPr>
      </w:pPr>
      <w:r>
        <w:rPr>
          <w:rFonts w:ascii="Arial" w:cs="Arial" w:eastAsia="Arial" w:hAnsi="Arial"/>
          <w:sz w:val="15"/>
          <w:szCs w:val="15"/>
          <w:color w:val="auto"/>
        </w:rPr>
        <w:t>Our provision for income taxes attributable to continuing operations differs from the expected tax expense (benefit) amount computed by applying the U.S. statutory federal income tax rate of 21% to income from continuing operations before income taxes. The variance is a result of the application of a valuation allowance for net deferred assets, including NOL carryforwards and credits generated in Australia, the UK, and the United States. Income tax expense for the period is a result of the Texas “Gross Margin” tax in the case of the state tax expense and taxable profits in Ireland and Singapore in the case of the foreign tax expense.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020" w:type="dxa"/>
            <w:vAlign w:val="bottom"/>
          </w:tcPr>
          <w:p>
            <w:pPr>
              <w:spacing w:after="0"/>
              <w:rPr>
                <w:sz w:val="13"/>
                <w:szCs w:val="13"/>
                <w:color w:val="auto"/>
              </w:rPr>
            </w:pPr>
          </w:p>
        </w:tc>
        <w:tc>
          <w:tcPr>
            <w:tcW w:w="2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50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1280" w:type="dxa"/>
            <w:vAlign w:val="bottom"/>
            <w:tcBorders>
              <w:bottom w:val="single" w:sz="8" w:color="auto"/>
            </w:tcBorders>
          </w:tcPr>
          <w:p>
            <w:pPr>
              <w:jc w:val="right"/>
              <w:ind w:right="562"/>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U.S. federal taxes at statutory rate</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21.00%</w:t>
            </w: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w:t>
            </w:r>
          </w:p>
        </w:tc>
        <w:tc>
          <w:tcPr>
            <w:tcW w:w="200" w:type="dxa"/>
            <w:vAlign w:val="bottom"/>
          </w:tcPr>
          <w:p>
            <w:pPr>
              <w:spacing w:after="0"/>
              <w:rPr>
                <w:sz w:val="18"/>
                <w:szCs w:val="18"/>
                <w:color w:val="auto"/>
              </w:rPr>
            </w:pP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Foreign tax rate differentials</w:t>
            </w:r>
          </w:p>
        </w:tc>
        <w:tc>
          <w:tcPr>
            <w:tcW w:w="1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0.66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(0.15)</w:t>
            </w: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Research and development credit</w:t>
            </w: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w:t>
            </w:r>
          </w:p>
        </w:tc>
        <w:tc>
          <w:tcPr>
            <w:tcW w:w="3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(0.46)</w:t>
            </w: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16.97</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(0.83)</w:t>
            </w: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Permanent differences, other</w:t>
            </w:r>
          </w:p>
        </w:tc>
        <w:tc>
          <w:tcPr>
            <w:tcW w:w="1280" w:type="dxa"/>
            <w:vAlign w:val="bottom"/>
          </w:tcPr>
          <w:p>
            <w:pPr>
              <w:jc w:val="right"/>
              <w:ind w:right="62"/>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(3.77)</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(1.83)</w:t>
            </w:r>
          </w:p>
        </w:tc>
      </w:tr>
      <w:tr>
        <w:trPr>
          <w:trHeight w:val="21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Change in valuation allowance</w:t>
            </w:r>
          </w:p>
        </w:tc>
        <w:tc>
          <w:tcPr>
            <w:tcW w:w="12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(40.41)</w:t>
            </w:r>
          </w:p>
        </w:tc>
        <w:tc>
          <w:tcPr>
            <w:tcW w:w="1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(24.50)</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(22.30)</w:t>
            </w:r>
          </w:p>
        </w:tc>
      </w:tr>
      <w:tr>
        <w:trPr>
          <w:trHeight w:val="213"/>
        </w:trPr>
        <w:tc>
          <w:tcPr>
            <w:tcW w:w="5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200" w:type="dxa"/>
            <w:vAlign w:val="bottom"/>
            <w:tcBorders>
              <w:bottom w:val="single" w:sz="8" w:color="CFF0FC"/>
            </w:tcBorders>
          </w:tcPr>
          <w:p>
            <w:pPr>
              <w:spacing w:after="0"/>
              <w:rPr>
                <w:sz w:val="18"/>
                <w:szCs w:val="18"/>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Effective tax rate</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(0.03)%</w:t>
            </w:r>
          </w:p>
        </w:tc>
      </w:tr>
      <w:tr>
        <w:trPr>
          <w:trHeight w:val="20"/>
        </w:trPr>
        <w:tc>
          <w:tcPr>
            <w:tcW w:w="50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100" w:firstLine="510"/>
        <w:spacing w:after="0" w:line="273" w:lineRule="auto"/>
        <w:rPr>
          <w:sz w:val="20"/>
          <w:szCs w:val="20"/>
          <w:color w:val="auto"/>
        </w:rPr>
      </w:pPr>
      <w:r>
        <w:rPr>
          <w:rFonts w:ascii="Arial" w:cs="Arial" w:eastAsia="Arial" w:hAnsi="Arial"/>
          <w:sz w:val="16"/>
          <w:szCs w:val="16"/>
          <w:color w:val="auto"/>
        </w:rPr>
        <w:t>The Tax Cuts and Jobs Act of 2017 (the “TJCA”) subjects a U.S. shareholder to current tax on certain earnings of foreign subsidiaries under a provision commonly known as GILTI (global intangible low-taxed income). Under U.S. GAAP, an accounting policy election can be made to either recognize deferred taxes for temporary basis differences expected to reverse as GILTI in future years, or to provide for the tax expense related to GILTI in the year the tax is incurred as a period expense only. We have elected to account for GILTI in the year the tax is incurred.</w:t>
      </w:r>
    </w:p>
    <w:p>
      <w:pPr>
        <w:spacing w:after="0" w:line="189"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Significant components of deferred taxes are as follows:</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4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1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Net operating loss and credit carryforwards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52,216</w:t>
            </w:r>
          </w:p>
        </w:tc>
        <w:tc>
          <w:tcPr>
            <w:tcW w:w="14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Lease liabilities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3,868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426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8,381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2,401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1,721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color w:val="auto"/>
              </w:rPr>
              <w:t>Gross deferred tax assets</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69,013</w:t>
            </w:r>
          </w:p>
        </w:tc>
        <w:tc>
          <w:tcPr>
            <w:tcW w:w="14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51,626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1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80" w:type="dxa"/>
            <w:vAlign w:val="bottom"/>
            <w:vMerge w:val="continue"/>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(62,917)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(46,784)</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Capitalized software costs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Deferred commission</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Right-of-use assets</w:t>
            </w: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(2,887)</w:t>
            </w:r>
          </w:p>
        </w:tc>
        <w:tc>
          <w:tcPr>
            <w:tcW w:w="0" w:type="dxa"/>
            <w:vAlign w:val="bottom"/>
          </w:tcPr>
          <w:p>
            <w:pPr>
              <w:spacing w:after="0"/>
              <w:rPr>
                <w:sz w:val="1"/>
                <w:szCs w:val="1"/>
                <w:color w:val="auto"/>
              </w:rPr>
            </w:pPr>
          </w:p>
        </w:tc>
      </w:tr>
      <w:tr>
        <w:trPr>
          <w:trHeight w:val="213"/>
        </w:trPr>
        <w:tc>
          <w:tcPr>
            <w:tcW w:w="4180" w:type="dxa"/>
            <w:vAlign w:val="bottom"/>
          </w:tcPr>
          <w:p>
            <w:pPr>
              <w:ind w:left="240"/>
              <w:spacing w:after="0"/>
              <w:rPr>
                <w:sz w:val="20"/>
                <w:szCs w:val="20"/>
                <w:color w:val="auto"/>
              </w:rPr>
            </w:pPr>
            <w:r>
              <w:rPr>
                <w:rFonts w:ascii="Arial" w:cs="Arial" w:eastAsia="Arial" w:hAnsi="Arial"/>
                <w:sz w:val="16"/>
                <w:szCs w:val="16"/>
                <w:color w:val="auto"/>
              </w:rPr>
              <w:t>Prepaid expenses and other</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Gross deferred tax liabilities</w:t>
            </w:r>
          </w:p>
        </w:tc>
        <w:tc>
          <w:tcPr>
            <w:tcW w:w="1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vMerge w:val="continue"/>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(4,842)</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6"/>
                <w:szCs w:val="16"/>
                <w:color w:val="auto"/>
              </w:rPr>
              <w:t>Net deferred tax assets</w:t>
            </w: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80" w:type="dxa"/>
            <w:vAlign w:val="bottom"/>
            <w:vMerge w:val="continue"/>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At December 31, 2020, we had NOL carryforwards for U.S. federal income tax purposes of approximately $168.9 million. Of this total, $120.4 million is related to tax years 2018, 2019 and 2020 that do not have an expiration, as a result of the TCJA. The remaining $48.5 million of U.S. federal NOL carryforwards are available to offset future U.S. federal taxable income and begin to expire in 2036.</w:t>
      </w:r>
    </w:p>
    <w:p>
      <w:pPr>
        <w:spacing w:after="0" w:line="184" w:lineRule="exact"/>
        <w:rPr>
          <w:sz w:val="20"/>
          <w:szCs w:val="20"/>
          <w:color w:val="auto"/>
        </w:rPr>
      </w:pPr>
    </w:p>
    <w:p>
      <w:pPr>
        <w:ind w:right="520" w:firstLine="510"/>
        <w:spacing w:after="0" w:line="293" w:lineRule="auto"/>
        <w:rPr>
          <w:sz w:val="20"/>
          <w:szCs w:val="20"/>
          <w:color w:val="auto"/>
        </w:rPr>
      </w:pPr>
      <w:r>
        <w:rPr>
          <w:rFonts w:ascii="Arial" w:cs="Arial" w:eastAsia="Arial" w:hAnsi="Arial"/>
          <w:sz w:val="16"/>
          <w:szCs w:val="16"/>
          <w:color w:val="auto"/>
        </w:rPr>
        <w:t>At December 31, 2020, we had NOL carryforwards for certain state income tax purposes of approximately $66.5 million. These state NOL carryforwards are available to offset future state taxable income and begin to expire in 2036.</w:t>
      </w:r>
    </w:p>
    <w:p>
      <w:pPr>
        <w:spacing w:after="0" w:line="17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At December 31, 2020, we had foreign NOL carryforwards in Australia and the U.K., combined, of approximately $11.4 million, which are available to offset future foreign taxable income and that do not have an expiration.</w:t>
      </w:r>
    </w:p>
    <w:p>
      <w:pPr>
        <w:spacing w:after="0" w:line="172" w:lineRule="exact"/>
        <w:rPr>
          <w:sz w:val="20"/>
          <w:szCs w:val="20"/>
          <w:color w:val="auto"/>
        </w:rPr>
      </w:pPr>
    </w:p>
    <w:p>
      <w:pPr>
        <w:ind w:right="160" w:firstLine="510"/>
        <w:spacing w:after="0" w:line="273" w:lineRule="auto"/>
        <w:rPr>
          <w:sz w:val="20"/>
          <w:szCs w:val="20"/>
          <w:color w:val="auto"/>
        </w:rPr>
      </w:pPr>
      <w:r>
        <w:rPr>
          <w:rFonts w:ascii="Arial" w:cs="Arial" w:eastAsia="Arial" w:hAnsi="Arial"/>
          <w:sz w:val="16"/>
          <w:szCs w:val="16"/>
          <w:color w:val="auto"/>
        </w:rPr>
        <w:t>At December 31, 2020, we did not provide any U.S. income or foreign withholding taxes related to certain foreign subsidiaries’ undistributed earnings, as such earnings have been retained and are intended to be indefinitely reinvested. The majority of our foreign operations are in excess tax basis over book basis positions. It is not practicable to estimate the amount of taxes that would be payable upon remittance of these earnings, because such tax, if any, is dependent upon circumstances existing if and when remittance occur.</w:t>
      </w:r>
    </w:p>
    <w:p>
      <w:pPr>
        <w:spacing w:after="0" w:line="189"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At December 31, 2020, we had research and development tax credit carryforwards of approximately $5.2 million, which are available to offset future U.S. federal income tax. These U.S. federal tax credits begin to expire in 2034.</w:t>
      </w:r>
    </w:p>
    <w:p>
      <w:pPr>
        <w:spacing w:after="0" w:line="17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At December 31, 2020 and December 31, 2019, we did not believe it is more likely than not that our net deferred tax assets will be realized. Therefore, we recorded a full valuation allowance with respect to all net deferred tax assets. During 2020, the valuation allowance increased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approximately $16.1 million. The increase mainly relates to the increase the U.S. federal NOL and R&amp;D tax credit along with an increase in state NOLs and tax credits.</w:t>
      </w:r>
    </w:p>
    <w:p>
      <w:pPr>
        <w:spacing w:after="0" w:line="246" w:lineRule="exact"/>
        <w:rPr>
          <w:sz w:val="20"/>
          <w:szCs w:val="20"/>
          <w:color w:val="auto"/>
        </w:rPr>
      </w:pPr>
    </w:p>
    <w:p>
      <w:pPr>
        <w:jc w:val="both"/>
        <w:ind w:right="20" w:firstLine="510"/>
        <w:spacing w:after="0" w:line="273" w:lineRule="auto"/>
        <w:rPr>
          <w:sz w:val="20"/>
          <w:szCs w:val="20"/>
          <w:color w:val="auto"/>
        </w:rPr>
      </w:pPr>
      <w:r>
        <w:rPr>
          <w:rFonts w:ascii="Arial" w:cs="Arial" w:eastAsia="Arial" w:hAnsi="Arial"/>
          <w:sz w:val="16"/>
          <w:szCs w:val="16"/>
          <w:color w:val="auto"/>
        </w:rPr>
        <w:t>We file U.S. federal, state and foreign income tax returns in jurisdictions with varying statutes of limitations. The 2017 through 2020 tax years generally remain open and subject to examination by U.S. federal, state and foreign tax authorities. The 2017 tax year generally remains open and subject to examination by foreign tax authorities. Losses generated in any year since inception remain open to adjustment until the statute of limitations closes for the tax year in which the NOL carryforwards are utilized. We are not currently under audit in any taxing jurisdictions.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2020, we had no recorded unrecognized tax benefits.</w:t>
      </w:r>
    </w:p>
    <w:p>
      <w:pPr>
        <w:spacing w:after="0" w:line="235"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practice is to recognize interest and/or penalties related to income tax matters in income tax expense. During 2020 and 2019, we did not recognize any material interest or penalties.</w:t>
      </w:r>
    </w:p>
    <w:p>
      <w:pPr>
        <w:spacing w:after="0" w:line="276" w:lineRule="exact"/>
        <w:rPr>
          <w:sz w:val="20"/>
          <w:szCs w:val="20"/>
          <w:color w:val="auto"/>
        </w:rPr>
      </w:pPr>
    </w:p>
    <w:p>
      <w:pPr>
        <w:ind w:right="9800" w:firstLine="8"/>
        <w:spacing w:after="0" w:line="465" w:lineRule="auto"/>
        <w:tabs>
          <w:tab w:leader="none" w:pos="234"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Net loss per share</w:t>
      </w:r>
    </w:p>
    <w:p>
      <w:pPr>
        <w:spacing w:after="0" w:line="1" w:lineRule="exact"/>
        <w:rPr>
          <w:sz w:val="20"/>
          <w:szCs w:val="20"/>
          <w:color w:val="auto"/>
        </w:rPr>
      </w:pPr>
    </w:p>
    <w:p>
      <w:pPr>
        <w:ind w:right="160" w:firstLine="510"/>
        <w:spacing w:after="0" w:line="315" w:lineRule="auto"/>
        <w:rPr>
          <w:sz w:val="20"/>
          <w:szCs w:val="20"/>
          <w:color w:val="auto"/>
        </w:rPr>
      </w:pPr>
      <w:r>
        <w:rPr>
          <w:rFonts w:ascii="Arial" w:cs="Arial" w:eastAsia="Arial" w:hAnsi="Arial"/>
          <w:sz w:val="14"/>
          <w:szCs w:val="14"/>
          <w:color w:val="auto"/>
        </w:rPr>
        <w:t>Basic and diluted net loss per common share is presented in conformity with the two-class method required for participating securities. Prior to the IPO, Holders of Series F preferred stock were entitled to receive cumulative dividends at the annual rate of 10% compounded quarterly payable prior and in preference to any dividends on any shares of our common stock. In the event a dividend was paid on common stock, the holders of preferred stock were entitled to a proportionate share of any such dividend as if they were holders of common stock (on an as-if converted basis). Accordingly, all of our outstanding series of preferred stock were considered to be participating securities. The holders of our preferred stock did not have a contractual obligation to share in our losses; therefore, no amount of total undistributed loss was allocated to preferred stock. Net loss attributable to common stockholders was calculated as net loss less current period preferred stock dividends.</w:t>
      </w:r>
    </w:p>
    <w:p>
      <w:pPr>
        <w:spacing w:after="0" w:line="163" w:lineRule="exact"/>
        <w:rPr>
          <w:sz w:val="20"/>
          <w:szCs w:val="20"/>
          <w:color w:val="auto"/>
        </w:rPr>
      </w:pPr>
    </w:p>
    <w:p>
      <w:pPr>
        <w:jc w:val="both"/>
        <w:ind w:right="80" w:firstLine="510"/>
        <w:spacing w:after="0" w:line="324" w:lineRule="auto"/>
        <w:rPr>
          <w:sz w:val="20"/>
          <w:szCs w:val="20"/>
          <w:color w:val="auto"/>
        </w:rPr>
      </w:pPr>
      <w:r>
        <w:rPr>
          <w:rFonts w:ascii="Arial" w:cs="Arial" w:eastAsia="Arial" w:hAnsi="Arial"/>
          <w:sz w:val="14"/>
          <w:szCs w:val="14"/>
          <w:color w:val="auto"/>
        </w:rPr>
        <w:t>Basic net loss per share attributable to common stockholders is computed by dividing net loss attributable to common stockholders by the weighted-average number of shares of common stock outstanding for the period. Because we have reported a net loss for 2020, 2019 and 2018, the number of shares used to calculate diluted net loss per share of common stock attributable to common stockholders is the same as the number of shares used to calculate basic net loss per share of common stock attributable to common stockholders for the period presented because the potentially dilutive shares would have been antidilutive if included in the calculation.</w:t>
      </w:r>
    </w:p>
    <w:p>
      <w:pPr>
        <w:spacing w:after="0" w:line="157" w:lineRule="exact"/>
        <w:rPr>
          <w:sz w:val="20"/>
          <w:szCs w:val="20"/>
          <w:color w:val="auto"/>
        </w:rPr>
      </w:pPr>
    </w:p>
    <w:p>
      <w:pPr>
        <w:ind w:right="340" w:firstLine="510"/>
        <w:spacing w:after="0" w:line="293" w:lineRule="auto"/>
        <w:rPr>
          <w:sz w:val="20"/>
          <w:szCs w:val="20"/>
          <w:color w:val="auto"/>
        </w:rPr>
      </w:pPr>
      <w:r>
        <w:rPr>
          <w:rFonts w:ascii="Arial" w:cs="Arial" w:eastAsia="Arial" w:hAnsi="Arial"/>
          <w:sz w:val="16"/>
          <w:szCs w:val="16"/>
          <w:color w:val="auto"/>
        </w:rPr>
        <w:t>The following potentially dilutive securities outstanding have been excluded from the computation of diluted weighted-average shares outstanding because such securities have an antidilutive impact due to losses reported: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99"/>
              </w:rPr>
              <w:t>Year ended December 31,</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39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268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65"/>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82"/>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as-converted</w:t>
            </w:r>
          </w:p>
        </w:tc>
        <w:tc>
          <w:tcPr>
            <w:tcW w:w="26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34,442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Stock options outstanding</w:t>
            </w:r>
          </w:p>
        </w:tc>
        <w:tc>
          <w:tcPr>
            <w:tcW w:w="4000" w:type="dxa"/>
            <w:vAlign w:val="bottom"/>
            <w:gridSpan w:val="2"/>
          </w:tcPr>
          <w:p>
            <w:pPr>
              <w:jc w:val="right"/>
              <w:spacing w:after="0"/>
              <w:rPr>
                <w:sz w:val="20"/>
                <w:szCs w:val="20"/>
                <w:color w:val="auto"/>
              </w:rPr>
            </w:pPr>
            <w:r>
              <w:rPr>
                <w:rFonts w:ascii="Arial" w:cs="Arial" w:eastAsia="Arial" w:hAnsi="Arial"/>
                <w:sz w:val="16"/>
                <w:szCs w:val="16"/>
                <w:color w:val="auto"/>
              </w:rPr>
              <w:t>8,215</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9,327</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Warrants to purchase common stock</w:t>
            </w:r>
          </w:p>
        </w:tc>
        <w:tc>
          <w:tcPr>
            <w:tcW w:w="26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Restricted stock units</w:t>
            </w:r>
          </w:p>
        </w:tc>
        <w:tc>
          <w:tcPr>
            <w:tcW w:w="4000" w:type="dxa"/>
            <w:vAlign w:val="bottom"/>
            <w:gridSpan w:val="2"/>
          </w:tcPr>
          <w:p>
            <w:pPr>
              <w:jc w:val="right"/>
              <w:spacing w:after="0"/>
              <w:rPr>
                <w:sz w:val="20"/>
                <w:szCs w:val="20"/>
                <w:color w:val="auto"/>
              </w:rPr>
            </w:pPr>
            <w:r>
              <w:rPr>
                <w:rFonts w:ascii="Arial" w:cs="Arial" w:eastAsia="Arial" w:hAnsi="Arial"/>
                <w:sz w:val="16"/>
                <w:szCs w:val="16"/>
                <w:color w:val="auto"/>
              </w:rPr>
              <w:t>1,408</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Convertible debt</w:t>
            </w:r>
          </w:p>
        </w:tc>
        <w:tc>
          <w:tcPr>
            <w:tcW w:w="268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2,180</w:t>
            </w:r>
          </w:p>
        </w:tc>
        <w:tc>
          <w:tcPr>
            <w:tcW w:w="2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3980" w:type="dxa"/>
            <w:vAlign w:val="bottom"/>
          </w:tcPr>
          <w:p>
            <w:pPr>
              <w:ind w:left="260"/>
              <w:spacing w:after="0"/>
              <w:rPr>
                <w:sz w:val="20"/>
                <w:szCs w:val="20"/>
                <w:color w:val="auto"/>
              </w:rPr>
            </w:pPr>
            <w:r>
              <w:rPr>
                <w:rFonts w:ascii="Arial" w:cs="Arial" w:eastAsia="Arial" w:hAnsi="Arial"/>
                <w:sz w:val="16"/>
                <w:szCs w:val="16"/>
                <w:color w:val="auto"/>
              </w:rPr>
              <w:t>Total potentially dilutive securities</w:t>
            </w:r>
          </w:p>
        </w:tc>
        <w:tc>
          <w:tcPr>
            <w:tcW w:w="4000" w:type="dxa"/>
            <w:vAlign w:val="bottom"/>
            <w:gridSpan w:val="2"/>
          </w:tcPr>
          <w:p>
            <w:pPr>
              <w:jc w:val="right"/>
              <w:spacing w:after="0"/>
              <w:rPr>
                <w:sz w:val="20"/>
                <w:szCs w:val="20"/>
                <w:color w:val="auto"/>
              </w:rPr>
            </w:pPr>
            <w:r>
              <w:rPr>
                <w:rFonts w:ascii="Arial" w:cs="Arial" w:eastAsia="Arial" w:hAnsi="Arial"/>
                <w:sz w:val="16"/>
                <w:szCs w:val="16"/>
                <w:color w:val="auto"/>
              </w:rPr>
              <w:t>9,623</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46,313</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45,980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3980" w:type="dxa"/>
            <w:vAlign w:val="bottom"/>
          </w:tcPr>
          <w:p>
            <w:pPr>
              <w:spacing w:after="0"/>
              <w:rPr>
                <w:sz w:val="24"/>
                <w:szCs w:val="24"/>
                <w:color w:val="auto"/>
              </w:rPr>
            </w:pPr>
          </w:p>
        </w:tc>
        <w:tc>
          <w:tcPr>
            <w:tcW w:w="4000" w:type="dxa"/>
            <w:vAlign w:val="bottom"/>
            <w:gridSpan w:val="2"/>
          </w:tcPr>
          <w:p>
            <w:pPr>
              <w:jc w:val="right"/>
              <w:ind w:right="2124"/>
              <w:spacing w:after="0"/>
              <w:rPr>
                <w:sz w:val="20"/>
                <w:szCs w:val="20"/>
                <w:color w:val="auto"/>
              </w:rPr>
            </w:pPr>
            <w:r>
              <w:rPr>
                <w:rFonts w:ascii="Arial" w:cs="Arial" w:eastAsia="Arial" w:hAnsi="Arial"/>
                <w:sz w:val="16"/>
                <w:szCs w:val="16"/>
                <w:color w:val="auto"/>
              </w:rPr>
              <w:t>F-22</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39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Quarterly results of operations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6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December</w:t>
            </w:r>
          </w:p>
        </w:tc>
        <w:tc>
          <w:tcPr>
            <w:tcW w:w="10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September</w:t>
            </w:r>
          </w:p>
        </w:tc>
        <w:tc>
          <w:tcPr>
            <w:tcW w:w="8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March 31,</w:t>
            </w:r>
          </w:p>
        </w:tc>
        <w:tc>
          <w:tcPr>
            <w:tcW w:w="1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December</w:t>
            </w:r>
          </w:p>
        </w:tc>
        <w:tc>
          <w:tcPr>
            <w:tcW w:w="104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September</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31, 2020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30, 2020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31, 2019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30, 2019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43,143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39,735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36,316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33,174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31,020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27,235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25,584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10,216</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8,593</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7,837</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7,480</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8,065</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32,927</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31,142</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28,479</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25,694</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22,955</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21,458</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21,008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60" w:type="dxa"/>
            <w:vAlign w:val="bottom"/>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13,942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10,921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12,212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9,745</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7,714</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6,466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6,456</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5,527</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0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46,731</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41,197</w:t>
            </w:r>
          </w:p>
        </w:tc>
        <w:tc>
          <w:tcPr>
            <w:tcW w:w="2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35,862</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33,149</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32,712</w:t>
            </w: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31,735</w:t>
            </w:r>
          </w:p>
        </w:tc>
        <w:tc>
          <w:tcPr>
            <w:tcW w:w="2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31,653</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(13,804)</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(10,055)</w:t>
            </w: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(7,383)</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(7,455)</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(9,757)</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(10,277)</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(10,645)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(10,308)</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(1,152)</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(762)</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(483)</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6"/>
                <w:szCs w:val="16"/>
                <w:color w:val="auto"/>
                <w:w w:val="97"/>
              </w:rPr>
              <w:t>Change in fair value of financial instruments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(75)</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0"/>
        </w:trPr>
        <w:tc>
          <w:tcPr>
            <w:tcW w:w="3060" w:type="dxa"/>
            <w:vAlign w:val="bottom"/>
          </w:tcPr>
          <w:p>
            <w:pPr>
              <w:ind w:left="500"/>
              <w:spacing w:after="0"/>
              <w:rPr>
                <w:sz w:val="20"/>
                <w:szCs w:val="20"/>
                <w:color w:val="auto"/>
              </w:rPr>
            </w:pPr>
            <w:r>
              <w:rPr>
                <w:rFonts w:ascii="Arial" w:cs="Arial" w:eastAsia="Arial" w:hAnsi="Arial"/>
                <w:sz w:val="16"/>
                <w:szCs w:val="16"/>
                <w:color w:val="auto"/>
              </w:rPr>
              <w:t>Loss before provision for income</w:t>
            </w: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500"/>
              <w:spacing w:after="0"/>
              <w:rPr>
                <w:sz w:val="20"/>
                <w:szCs w:val="20"/>
                <w:color w:val="auto"/>
              </w:rPr>
            </w:pPr>
            <w:r>
              <w:rPr>
                <w:rFonts w:ascii="Arial" w:cs="Arial" w:eastAsia="Arial" w:hAnsi="Arial"/>
                <w:sz w:val="16"/>
                <w:szCs w:val="16"/>
                <w:color w:val="auto"/>
              </w:rPr>
              <w:t>taxes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(14,182)</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(10,869)</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(8,478)</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(10,285)</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(10,718)</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ind w:left="50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06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(10,855)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(8,481)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(10,292)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(10,725)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(11,032)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(10,541)</w:t>
            </w:r>
          </w:p>
        </w:tc>
        <w:tc>
          <w:tcPr>
            <w:tcW w:w="0" w:type="dxa"/>
            <w:vAlign w:val="bottom"/>
          </w:tcPr>
          <w:p>
            <w:pPr>
              <w:spacing w:after="0"/>
              <w:rPr>
                <w:sz w:val="1"/>
                <w:szCs w:val="1"/>
                <w:color w:val="auto"/>
              </w:rPr>
            </w:pPr>
          </w:p>
        </w:tc>
      </w:tr>
      <w:tr>
        <w:trPr>
          <w:trHeight w:val="190"/>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4"/>
              </w:rPr>
              <w:t>Dividends and accretion of issuance costs on</w:t>
            </w: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Series F</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preferred stock</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(1,953)</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(1,745)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(1,909)</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(1,798)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6"/>
                <w:szCs w:val="16"/>
                <w:color w:val="auto"/>
                <w:w w:val="95"/>
              </w:rPr>
              <w:t>Net loss attributable to common stockholders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06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(14,201)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(10,434)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(5,768)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(12,201)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(12,590)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(12,830)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(12,277)</w:t>
            </w:r>
          </w:p>
        </w:tc>
        <w:tc>
          <w:tcPr>
            <w:tcW w:w="0" w:type="dxa"/>
            <w:vAlign w:val="bottom"/>
          </w:tcPr>
          <w:p>
            <w:pPr>
              <w:spacing w:after="0"/>
              <w:rPr>
                <w:sz w:val="1"/>
                <w:szCs w:val="1"/>
                <w:color w:val="auto"/>
              </w:rPr>
            </w:pPr>
          </w:p>
        </w:tc>
      </w:tr>
      <w:tr>
        <w:trPr>
          <w:trHeight w:val="190"/>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Basic and diluted net loss per share</w:t>
            </w: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attributable to common</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(0.16)</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(0.54)</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(0.31)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(0.73)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w w:val="99"/>
              </w:rPr>
              <w:t>Weighted average shares used to compute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20"/>
                <w:szCs w:val="20"/>
                <w:color w:val="auto"/>
              </w:rPr>
            </w:pPr>
            <w:r>
              <w:rPr>
                <w:rFonts w:ascii="Arial" w:cs="Arial" w:eastAsia="Arial" w:hAnsi="Arial"/>
                <w:sz w:val="16"/>
                <w:szCs w:val="16"/>
                <w:color w:val="auto"/>
              </w:rPr>
              <w:t>basic and diluted net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rPr>
                <w:sz w:val="20"/>
                <w:szCs w:val="20"/>
                <w:color w:val="auto"/>
              </w:rPr>
            </w:pPr>
            <w:r>
              <w:rPr>
                <w:rFonts w:ascii="Arial" w:cs="Arial" w:eastAsia="Arial" w:hAnsi="Arial"/>
                <w:sz w:val="16"/>
                <w:szCs w:val="16"/>
                <w:color w:val="auto"/>
              </w:rPr>
              <w:t>loss per share attributable to common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Arial" w:cs="Arial" w:eastAsia="Arial" w:hAnsi="Arial"/>
                <w:sz w:val="16"/>
                <w:szCs w:val="16"/>
                <w:color w:val="auto"/>
              </w:rPr>
              <w:t>stockholders</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68,638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49,355</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F-23</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6" w:right="339" w:bottom="1440" w:gutter="0" w:footer="0" w:header="0"/>
        </w:sectPr>
      </w:pPr>
    </w:p>
    <w:bookmarkStart w:id="76" w:name="page77"/>
    <w:bookmarkEnd w:id="76"/>
    <w:p>
      <w:pPr>
        <w:jc w:val="right"/>
        <w:ind w:right="20"/>
        <w:spacing w:after="0"/>
        <w:rPr>
          <w:sz w:val="20"/>
          <w:szCs w:val="20"/>
          <w:color w:val="auto"/>
        </w:rPr>
      </w:pPr>
      <w:r>
        <w:rPr>
          <w:rFonts w:ascii="Arial" w:cs="Arial" w:eastAsia="Arial" w:hAnsi="Arial"/>
          <w:sz w:val="20"/>
          <w:szCs w:val="20"/>
          <w:b w:val="1"/>
          <w:bCs w:val="1"/>
          <w:color w:val="1A1C1E"/>
        </w:rPr>
        <w:t>Exhibit 10.17</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1A1C1E"/>
        </w:rPr>
        <w:t>2020 Executive Bonus Plan</w:t>
      </w:r>
    </w:p>
    <w:p>
      <w:pPr>
        <w:spacing w:after="0" w:line="101" w:lineRule="exact"/>
        <w:rPr>
          <w:sz w:val="20"/>
          <w:szCs w:val="20"/>
          <w:color w:val="auto"/>
        </w:rPr>
      </w:pPr>
    </w:p>
    <w:p>
      <w:pPr>
        <w:ind w:left="380" w:right="700" w:hanging="372"/>
        <w:spacing w:after="0" w:line="282" w:lineRule="auto"/>
        <w:tabs>
          <w:tab w:leader="none" w:pos="380" w:val="left"/>
        </w:tabs>
        <w:numPr>
          <w:ilvl w:val="0"/>
          <w:numId w:val="38"/>
        </w:numPr>
        <w:rPr>
          <w:rFonts w:ascii="Arial" w:cs="Arial" w:eastAsia="Arial" w:hAnsi="Arial"/>
          <w:sz w:val="18"/>
          <w:szCs w:val="18"/>
          <w:color w:val="1A1C1E"/>
        </w:rPr>
      </w:pPr>
      <w:r>
        <w:rPr>
          <w:rFonts w:ascii="Arial" w:cs="Arial" w:eastAsia="Arial" w:hAnsi="Arial"/>
          <w:sz w:val="18"/>
          <w:szCs w:val="18"/>
          <w:b w:val="1"/>
          <w:bCs w:val="1"/>
          <w:color w:val="1A1C1E"/>
        </w:rPr>
        <w:t xml:space="preserve">Purpose. </w:t>
      </w:r>
      <w:r>
        <w:rPr>
          <w:rFonts w:ascii="Arial" w:cs="Arial" w:eastAsia="Arial" w:hAnsi="Arial"/>
          <w:sz w:val="18"/>
          <w:szCs w:val="18"/>
          <w:color w:val="1A1C1E"/>
        </w:rPr>
        <w:t>The purpose of the 2020 Executive Bonus Plan (this “</w:t>
      </w:r>
      <w:r>
        <w:rPr>
          <w:rFonts w:ascii="Arial" w:cs="Arial" w:eastAsia="Arial" w:hAnsi="Arial"/>
          <w:sz w:val="18"/>
          <w:szCs w:val="18"/>
          <w:b w:val="1"/>
          <w:bCs w:val="1"/>
          <w:color w:val="1A1C1E"/>
        </w:rPr>
        <w:t>Plan</w:t>
      </w:r>
      <w:r>
        <w:rPr>
          <w:rFonts w:ascii="Arial" w:cs="Arial" w:eastAsia="Arial" w:hAnsi="Arial"/>
          <w:sz w:val="18"/>
          <w:szCs w:val="18"/>
          <w:color w:val="1A1C1E"/>
        </w:rPr>
        <w:t>”) is to encourage, recognize, and annually reward the achievement of key financial</w:t>
      </w:r>
      <w:r>
        <w:rPr>
          <w:rFonts w:ascii="Arial" w:cs="Arial" w:eastAsia="Arial" w:hAnsi="Arial"/>
          <w:sz w:val="18"/>
          <w:szCs w:val="18"/>
          <w:b w:val="1"/>
          <w:bCs w:val="1"/>
          <w:color w:val="1A1C1E"/>
        </w:rPr>
        <w:t xml:space="preserve"> </w:t>
      </w:r>
      <w:r>
        <w:rPr>
          <w:rFonts w:ascii="Arial" w:cs="Arial" w:eastAsia="Arial" w:hAnsi="Arial"/>
          <w:sz w:val="18"/>
          <w:szCs w:val="18"/>
          <w:color w:val="1A1C1E"/>
        </w:rPr>
        <w:t>objectives for BigCommerce Holdings, Inc. (together with its subsidiaries, the “</w:t>
      </w:r>
      <w:r>
        <w:rPr>
          <w:rFonts w:ascii="Arial" w:cs="Arial" w:eastAsia="Arial" w:hAnsi="Arial"/>
          <w:sz w:val="18"/>
          <w:szCs w:val="18"/>
          <w:b w:val="1"/>
          <w:bCs w:val="1"/>
          <w:color w:val="1A1C1E"/>
        </w:rPr>
        <w:t>Company</w:t>
      </w:r>
      <w:r>
        <w:rPr>
          <w:rFonts w:ascii="Arial" w:cs="Arial" w:eastAsia="Arial" w:hAnsi="Arial"/>
          <w:sz w:val="18"/>
          <w:szCs w:val="18"/>
          <w:color w:val="1A1C1E"/>
        </w:rPr>
        <w:t>”).</w:t>
      </w:r>
    </w:p>
    <w:p>
      <w:pPr>
        <w:spacing w:after="0" w:line="107" w:lineRule="exact"/>
        <w:rPr>
          <w:rFonts w:ascii="Arial" w:cs="Arial" w:eastAsia="Arial" w:hAnsi="Arial"/>
          <w:sz w:val="18"/>
          <w:szCs w:val="18"/>
          <w:color w:val="1A1C1E"/>
        </w:rPr>
      </w:pPr>
    </w:p>
    <w:p>
      <w:pPr>
        <w:ind w:left="380" w:right="400" w:hanging="372"/>
        <w:spacing w:after="0" w:line="282" w:lineRule="auto"/>
        <w:tabs>
          <w:tab w:leader="none" w:pos="380" w:val="left"/>
        </w:tabs>
        <w:numPr>
          <w:ilvl w:val="0"/>
          <w:numId w:val="38"/>
        </w:numPr>
        <w:rPr>
          <w:rFonts w:ascii="Arial" w:cs="Arial" w:eastAsia="Arial" w:hAnsi="Arial"/>
          <w:sz w:val="18"/>
          <w:szCs w:val="18"/>
          <w:color w:val="1A1C1E"/>
        </w:rPr>
      </w:pPr>
      <w:r>
        <w:rPr>
          <w:rFonts w:ascii="Arial" w:cs="Arial" w:eastAsia="Arial" w:hAnsi="Arial"/>
          <w:sz w:val="18"/>
          <w:szCs w:val="18"/>
          <w:b w:val="1"/>
          <w:bCs w:val="1"/>
          <w:color w:val="1A1C1E"/>
        </w:rPr>
        <w:t xml:space="preserve">Period. </w:t>
      </w:r>
      <w:r>
        <w:rPr>
          <w:rFonts w:ascii="Arial" w:cs="Arial" w:eastAsia="Arial" w:hAnsi="Arial"/>
          <w:sz w:val="18"/>
          <w:szCs w:val="18"/>
          <w:color w:val="1A1C1E"/>
        </w:rPr>
        <w:t>This Plan period covers the Company’s fiscal year beginning on January 1, 2020 and ending on December 31, 2020. Plan participation, performance</w:t>
      </w:r>
      <w:r>
        <w:rPr>
          <w:rFonts w:ascii="Arial" w:cs="Arial" w:eastAsia="Arial" w:hAnsi="Arial"/>
          <w:sz w:val="18"/>
          <w:szCs w:val="18"/>
          <w:b w:val="1"/>
          <w:bCs w:val="1"/>
          <w:color w:val="1A1C1E"/>
        </w:rPr>
        <w:t xml:space="preserve"> </w:t>
      </w:r>
      <w:r>
        <w:rPr>
          <w:rFonts w:ascii="Arial" w:cs="Arial" w:eastAsia="Arial" w:hAnsi="Arial"/>
          <w:sz w:val="18"/>
          <w:szCs w:val="18"/>
          <w:color w:val="1A1C1E"/>
        </w:rPr>
        <w:t>goals, and target incentives are established at the beginning of the year.</w:t>
      </w:r>
    </w:p>
    <w:p>
      <w:pPr>
        <w:spacing w:after="0" w:line="107" w:lineRule="exact"/>
        <w:rPr>
          <w:rFonts w:ascii="Arial" w:cs="Arial" w:eastAsia="Arial" w:hAnsi="Arial"/>
          <w:sz w:val="18"/>
          <w:szCs w:val="18"/>
          <w:color w:val="1A1C1E"/>
        </w:rPr>
      </w:pPr>
    </w:p>
    <w:p>
      <w:pPr>
        <w:jc w:val="both"/>
        <w:ind w:left="380" w:right="20" w:hanging="372"/>
        <w:spacing w:after="0" w:line="289" w:lineRule="auto"/>
        <w:tabs>
          <w:tab w:leader="none" w:pos="380" w:val="left"/>
        </w:tabs>
        <w:numPr>
          <w:ilvl w:val="0"/>
          <w:numId w:val="38"/>
        </w:numPr>
        <w:rPr>
          <w:rFonts w:ascii="Arial" w:cs="Arial" w:eastAsia="Arial" w:hAnsi="Arial"/>
          <w:sz w:val="17"/>
          <w:szCs w:val="17"/>
          <w:color w:val="1A1C1E"/>
        </w:rPr>
      </w:pPr>
      <w:r>
        <w:rPr>
          <w:rFonts w:ascii="Arial" w:cs="Arial" w:eastAsia="Arial" w:hAnsi="Arial"/>
          <w:sz w:val="17"/>
          <w:szCs w:val="17"/>
          <w:b w:val="1"/>
          <w:bCs w:val="1"/>
          <w:color w:val="1A1C1E"/>
        </w:rPr>
        <w:t xml:space="preserve">Eligibility. </w:t>
      </w:r>
      <w:r>
        <w:rPr>
          <w:rFonts w:ascii="Arial" w:cs="Arial" w:eastAsia="Arial" w:hAnsi="Arial"/>
          <w:sz w:val="17"/>
          <w:szCs w:val="17"/>
          <w:color w:val="1A1C1E"/>
        </w:rPr>
        <w:t>Each participant must be in a position to materially contribute to the success of the Company. Participation is limited to Company executives with titles</w:t>
      </w:r>
      <w:r>
        <w:rPr>
          <w:rFonts w:ascii="Arial" w:cs="Arial" w:eastAsia="Arial" w:hAnsi="Arial"/>
          <w:sz w:val="17"/>
          <w:szCs w:val="17"/>
          <w:b w:val="1"/>
          <w:bCs w:val="1"/>
          <w:color w:val="1A1C1E"/>
        </w:rPr>
        <w:t xml:space="preserve"> </w:t>
      </w:r>
      <w:r>
        <w:rPr>
          <w:rFonts w:ascii="Arial" w:cs="Arial" w:eastAsia="Arial" w:hAnsi="Arial"/>
          <w:sz w:val="17"/>
          <w:szCs w:val="17"/>
          <w:color w:val="1A1C1E"/>
        </w:rPr>
        <w:t>of vice president or higher. A participant does not earn a Participant Bonus Payment and a participant is not eligible to receive a Participant Bonus Payment unless the participant is employed by the Company on the date that Participant Bonus Payment is paid.</w:t>
      </w:r>
    </w:p>
    <w:p>
      <w:pPr>
        <w:spacing w:after="0" w:line="103" w:lineRule="exact"/>
        <w:rPr>
          <w:rFonts w:ascii="Arial" w:cs="Arial" w:eastAsia="Arial" w:hAnsi="Arial"/>
          <w:sz w:val="17"/>
          <w:szCs w:val="17"/>
          <w:color w:val="1A1C1E"/>
        </w:rPr>
      </w:pPr>
    </w:p>
    <w:p>
      <w:pPr>
        <w:ind w:left="380" w:right="40" w:hanging="372"/>
        <w:spacing w:after="0" w:line="266" w:lineRule="auto"/>
        <w:tabs>
          <w:tab w:leader="none" w:pos="380" w:val="left"/>
        </w:tabs>
        <w:numPr>
          <w:ilvl w:val="0"/>
          <w:numId w:val="38"/>
        </w:numPr>
        <w:rPr>
          <w:rFonts w:ascii="Arial" w:cs="Arial" w:eastAsia="Arial" w:hAnsi="Arial"/>
          <w:sz w:val="18"/>
          <w:szCs w:val="18"/>
          <w:color w:val="1A1C1E"/>
        </w:rPr>
      </w:pPr>
      <w:r>
        <w:rPr>
          <w:rFonts w:ascii="Arial" w:cs="Arial" w:eastAsia="Arial" w:hAnsi="Arial"/>
          <w:sz w:val="18"/>
          <w:szCs w:val="18"/>
          <w:b w:val="1"/>
          <w:bCs w:val="1"/>
          <w:color w:val="1A1C1E"/>
        </w:rPr>
        <w:t xml:space="preserve">Payments. </w:t>
      </w:r>
      <w:r>
        <w:rPr>
          <w:rFonts w:ascii="Arial" w:cs="Arial" w:eastAsia="Arial" w:hAnsi="Arial"/>
          <w:sz w:val="18"/>
          <w:szCs w:val="18"/>
          <w:color w:val="1A1C1E"/>
        </w:rPr>
        <w:t>Bonus payments to participants (each, a “</w:t>
      </w:r>
      <w:r>
        <w:rPr>
          <w:rFonts w:ascii="Arial" w:cs="Arial" w:eastAsia="Arial" w:hAnsi="Arial"/>
          <w:sz w:val="18"/>
          <w:szCs w:val="18"/>
          <w:b w:val="1"/>
          <w:bCs w:val="1"/>
          <w:color w:val="1A1C1E"/>
        </w:rPr>
        <w:t>Participant Bonus Payment</w:t>
      </w:r>
      <w:r>
        <w:rPr>
          <w:rFonts w:ascii="Arial" w:cs="Arial" w:eastAsia="Arial" w:hAnsi="Arial"/>
          <w:sz w:val="18"/>
          <w:szCs w:val="18"/>
          <w:color w:val="1A1C1E"/>
        </w:rPr>
        <w:t>”) are expected to be paid on or before March 31, 2021. A “</w:t>
      </w:r>
      <w:r>
        <w:rPr>
          <w:rFonts w:ascii="Arial" w:cs="Arial" w:eastAsia="Arial" w:hAnsi="Arial"/>
          <w:sz w:val="18"/>
          <w:szCs w:val="18"/>
          <w:b w:val="1"/>
          <w:bCs w:val="1"/>
          <w:color w:val="1A1C1E"/>
        </w:rPr>
        <w:t>Participant Bonus Target</w:t>
      </w:r>
      <w:r>
        <w:rPr>
          <w:rFonts w:ascii="Arial" w:cs="Arial" w:eastAsia="Arial" w:hAnsi="Arial"/>
          <w:sz w:val="18"/>
          <w:szCs w:val="18"/>
          <w:color w:val="1A1C1E"/>
        </w:rPr>
        <w:t>” means a participant’s annual bonus target percentage, as specified in their offer letter or contract, as may be amended from time to time. Each Participant</w:t>
      </w:r>
      <w:r>
        <w:rPr>
          <w:rFonts w:ascii="Arial" w:cs="Arial" w:eastAsia="Arial" w:hAnsi="Arial"/>
          <w:sz w:val="18"/>
          <w:szCs w:val="18"/>
          <w:b w:val="1"/>
          <w:bCs w:val="1"/>
          <w:color w:val="1A1C1E"/>
        </w:rPr>
        <w:t xml:space="preserve"> </w:t>
      </w:r>
      <w:r>
        <w:rPr>
          <w:rFonts w:ascii="Arial" w:cs="Arial" w:eastAsia="Arial" w:hAnsi="Arial"/>
          <w:sz w:val="18"/>
          <w:szCs w:val="18"/>
          <w:color w:val="1A1C1E"/>
        </w:rPr>
        <w:t>Bonus Payment will be calculated as follows:</w:t>
      </w:r>
    </w:p>
    <w:p>
      <w:pPr>
        <w:spacing w:after="0" w:line="125" w:lineRule="exact"/>
        <w:rPr>
          <w:rFonts w:ascii="Arial" w:cs="Arial" w:eastAsia="Arial" w:hAnsi="Arial"/>
          <w:sz w:val="18"/>
          <w:szCs w:val="18"/>
          <w:color w:val="1A1C1E"/>
        </w:rPr>
      </w:pPr>
    </w:p>
    <w:p>
      <w:pPr>
        <w:ind w:left="380"/>
        <w:spacing w:after="0"/>
        <w:rPr>
          <w:rFonts w:ascii="Arial" w:cs="Arial" w:eastAsia="Arial" w:hAnsi="Arial"/>
          <w:sz w:val="18"/>
          <w:szCs w:val="18"/>
          <w:color w:val="1A1C1E"/>
        </w:rPr>
      </w:pPr>
      <w:r>
        <w:rPr>
          <w:rFonts w:ascii="Arial" w:cs="Arial" w:eastAsia="Arial" w:hAnsi="Arial"/>
          <w:sz w:val="18"/>
          <w:szCs w:val="18"/>
          <w:color w:val="auto"/>
        </w:rPr>
        <w:t>Salary x Participant Bonus Target x Payout Percentage</w:t>
      </w:r>
    </w:p>
    <w:p>
      <w:pPr>
        <w:spacing w:after="0" w:line="167" w:lineRule="exact"/>
        <w:rPr>
          <w:rFonts w:ascii="Arial" w:cs="Arial" w:eastAsia="Arial" w:hAnsi="Arial"/>
          <w:sz w:val="18"/>
          <w:szCs w:val="18"/>
          <w:color w:val="1A1C1E"/>
        </w:rPr>
      </w:pPr>
    </w:p>
    <w:p>
      <w:pPr>
        <w:ind w:left="380" w:right="260" w:hanging="372"/>
        <w:spacing w:after="0" w:line="347" w:lineRule="auto"/>
        <w:tabs>
          <w:tab w:leader="none" w:pos="380" w:val="left"/>
        </w:tabs>
        <w:numPr>
          <w:ilvl w:val="0"/>
          <w:numId w:val="38"/>
        </w:numPr>
        <w:rPr>
          <w:rFonts w:ascii="Arial" w:cs="Arial" w:eastAsia="Arial" w:hAnsi="Arial"/>
          <w:sz w:val="16"/>
          <w:szCs w:val="16"/>
          <w:color w:val="1A1C1E"/>
        </w:rPr>
      </w:pPr>
      <w:r>
        <w:rPr>
          <w:rFonts w:ascii="Arial" w:cs="Arial" w:eastAsia="Arial" w:hAnsi="Arial"/>
          <w:sz w:val="16"/>
          <w:szCs w:val="16"/>
          <w:b w:val="1"/>
          <w:bCs w:val="1"/>
          <w:color w:val="1A1C1E"/>
        </w:rPr>
        <w:t xml:space="preserve">Payout Percentage. </w:t>
      </w:r>
      <w:r>
        <w:rPr>
          <w:rFonts w:ascii="Arial" w:cs="Arial" w:eastAsia="Arial" w:hAnsi="Arial"/>
          <w:sz w:val="16"/>
          <w:szCs w:val="16"/>
          <w:color w:val="1A1C1E"/>
        </w:rPr>
        <w:t>The “</w:t>
      </w:r>
      <w:r>
        <w:rPr>
          <w:rFonts w:ascii="Arial" w:cs="Arial" w:eastAsia="Arial" w:hAnsi="Arial"/>
          <w:sz w:val="16"/>
          <w:szCs w:val="16"/>
          <w:b w:val="1"/>
          <w:bCs w:val="1"/>
          <w:color w:val="1A1C1E"/>
        </w:rPr>
        <w:t>Payout Percentage</w:t>
      </w:r>
      <w:r>
        <w:rPr>
          <w:rFonts w:ascii="Arial" w:cs="Arial" w:eastAsia="Arial" w:hAnsi="Arial"/>
          <w:sz w:val="16"/>
          <w:szCs w:val="16"/>
          <w:color w:val="1A1C1E"/>
        </w:rPr>
        <w:t>” will be calculated using the Payout Formula corresponding to the applicable Blended Attainment Range in the</w:t>
      </w:r>
      <w:r>
        <w:rPr>
          <w:rFonts w:ascii="Arial" w:cs="Arial" w:eastAsia="Arial" w:hAnsi="Arial"/>
          <w:sz w:val="16"/>
          <w:szCs w:val="16"/>
          <w:b w:val="1"/>
          <w:bCs w:val="1"/>
          <w:color w:val="1A1C1E"/>
        </w:rPr>
        <w:t xml:space="preserve"> </w:t>
      </w:r>
      <w:r>
        <w:rPr>
          <w:rFonts w:ascii="Arial" w:cs="Arial" w:eastAsia="Arial" w:hAnsi="Arial"/>
          <w:sz w:val="16"/>
          <w:szCs w:val="16"/>
          <w:color w:val="1A1C1E"/>
        </w:rPr>
        <w:t>Payout Table. Any Payout Percentage that exceeds 150% or is less than 50% will require Exception Approval,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074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32320" cy="207454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Payout Table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7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Blended Attainment Range</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Payout Formula</w:t>
            </w: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Example</w:t>
            </w:r>
          </w:p>
        </w:tc>
      </w:tr>
      <w:tr>
        <w:trPr>
          <w:trHeight w:val="81"/>
        </w:trPr>
        <w:tc>
          <w:tcPr>
            <w:tcW w:w="374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r>
      <w:tr>
        <w:trPr>
          <w:trHeight w:val="27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96-100%</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Payout Percentage = (Blended Attainment - 96%) x</w:t>
            </w:r>
          </w:p>
        </w:tc>
        <w:tc>
          <w:tcPr>
            <w:tcW w:w="3800" w:type="dxa"/>
            <w:vAlign w:val="bottom"/>
          </w:tcPr>
          <w:p>
            <w:pPr>
              <w:jc w:val="center"/>
              <w:spacing w:after="0"/>
              <w:rPr>
                <w:sz w:val="20"/>
                <w:szCs w:val="20"/>
                <w:color w:val="auto"/>
              </w:rPr>
            </w:pPr>
            <w:r>
              <w:rPr>
                <w:rFonts w:ascii="Arial" w:cs="Arial" w:eastAsia="Arial" w:hAnsi="Arial"/>
                <w:sz w:val="18"/>
                <w:szCs w:val="18"/>
                <w:color w:val="auto"/>
                <w:w w:val="86"/>
              </w:rPr>
              <w:t>98% Blended Attainment:</w:t>
            </w:r>
          </w:p>
        </w:tc>
      </w:tr>
      <w:tr>
        <w:trPr>
          <w:trHeight w:val="216"/>
        </w:trPr>
        <w:tc>
          <w:tcPr>
            <w:tcW w:w="37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25</w:t>
            </w:r>
          </w:p>
        </w:tc>
        <w:tc>
          <w:tcPr>
            <w:tcW w:w="3800" w:type="dxa"/>
            <w:vAlign w:val="bottom"/>
          </w:tcPr>
          <w:p>
            <w:pPr>
              <w:jc w:val="center"/>
              <w:spacing w:after="0"/>
              <w:rPr>
                <w:sz w:val="20"/>
                <w:szCs w:val="20"/>
                <w:color w:val="auto"/>
              </w:rPr>
            </w:pPr>
            <w:r>
              <w:rPr>
                <w:rFonts w:ascii="Arial" w:cs="Arial" w:eastAsia="Arial" w:hAnsi="Arial"/>
                <w:sz w:val="18"/>
                <w:szCs w:val="18"/>
                <w:color w:val="auto"/>
                <w:w w:val="81"/>
              </w:rPr>
              <w:t>Payout Percentage =</w:t>
            </w:r>
          </w:p>
        </w:tc>
      </w:tr>
      <w:tr>
        <w:trPr>
          <w:trHeight w:val="230"/>
        </w:trPr>
        <w:tc>
          <w:tcPr>
            <w:tcW w:w="37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6"/>
              </w:rPr>
              <w:t>(98% - 96%) x 25 = 50%</w:t>
            </w:r>
          </w:p>
        </w:tc>
      </w:tr>
      <w:tr>
        <w:trPr>
          <w:trHeight w:val="81"/>
        </w:trPr>
        <w:tc>
          <w:tcPr>
            <w:tcW w:w="374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r>
      <w:tr>
        <w:trPr>
          <w:trHeight w:val="27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100-108%</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Payout Percentage = (Blended Attainment - 100%)</w:t>
            </w:r>
          </w:p>
        </w:tc>
        <w:tc>
          <w:tcPr>
            <w:tcW w:w="3800" w:type="dxa"/>
            <w:vAlign w:val="bottom"/>
          </w:tcPr>
          <w:p>
            <w:pPr>
              <w:jc w:val="center"/>
              <w:spacing w:after="0"/>
              <w:rPr>
                <w:sz w:val="20"/>
                <w:szCs w:val="20"/>
                <w:color w:val="auto"/>
              </w:rPr>
            </w:pPr>
            <w:r>
              <w:rPr>
                <w:rFonts w:ascii="Arial" w:cs="Arial" w:eastAsia="Arial" w:hAnsi="Arial"/>
                <w:sz w:val="18"/>
                <w:szCs w:val="18"/>
                <w:color w:val="auto"/>
                <w:w w:val="86"/>
              </w:rPr>
              <w:t>102% Blended Attainment:</w:t>
            </w:r>
          </w:p>
        </w:tc>
      </w:tr>
      <w:tr>
        <w:trPr>
          <w:trHeight w:val="216"/>
        </w:trPr>
        <w:tc>
          <w:tcPr>
            <w:tcW w:w="37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x 18.75 + 100%</w:t>
            </w:r>
          </w:p>
        </w:tc>
        <w:tc>
          <w:tcPr>
            <w:tcW w:w="3800" w:type="dxa"/>
            <w:vAlign w:val="bottom"/>
          </w:tcPr>
          <w:p>
            <w:pPr>
              <w:jc w:val="center"/>
              <w:spacing w:after="0"/>
              <w:rPr>
                <w:sz w:val="20"/>
                <w:szCs w:val="20"/>
                <w:color w:val="auto"/>
              </w:rPr>
            </w:pPr>
            <w:r>
              <w:rPr>
                <w:rFonts w:ascii="Arial" w:cs="Arial" w:eastAsia="Arial" w:hAnsi="Arial"/>
                <w:sz w:val="18"/>
                <w:szCs w:val="18"/>
                <w:color w:val="auto"/>
                <w:w w:val="81"/>
              </w:rPr>
              <w:t>Payout Percentage =</w:t>
            </w:r>
          </w:p>
        </w:tc>
      </w:tr>
      <w:tr>
        <w:trPr>
          <w:trHeight w:val="230"/>
        </w:trPr>
        <w:tc>
          <w:tcPr>
            <w:tcW w:w="37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6"/>
              </w:rPr>
              <w:t>(102% - 100%) x 18.75 + 100% = 137%</w:t>
            </w:r>
          </w:p>
        </w:tc>
      </w:tr>
      <w:tr>
        <w:trPr>
          <w:trHeight w:val="81"/>
        </w:trPr>
        <w:tc>
          <w:tcPr>
            <w:tcW w:w="374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r>
      <w:tr>
        <w:trPr>
          <w:trHeight w:val="27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&gt; 108%</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Payout Percentage = 250% + (Blended Attainment -</w:t>
            </w:r>
          </w:p>
        </w:tc>
        <w:tc>
          <w:tcPr>
            <w:tcW w:w="3800" w:type="dxa"/>
            <w:vAlign w:val="bottom"/>
          </w:tcPr>
          <w:p>
            <w:pPr>
              <w:jc w:val="center"/>
              <w:spacing w:after="0"/>
              <w:rPr>
                <w:sz w:val="20"/>
                <w:szCs w:val="20"/>
                <w:color w:val="auto"/>
              </w:rPr>
            </w:pPr>
            <w:r>
              <w:rPr>
                <w:rFonts w:ascii="Arial" w:cs="Arial" w:eastAsia="Arial" w:hAnsi="Arial"/>
                <w:sz w:val="18"/>
                <w:szCs w:val="18"/>
                <w:color w:val="auto"/>
                <w:w w:val="86"/>
              </w:rPr>
              <w:t>110% Blended Attainment:</w:t>
            </w:r>
          </w:p>
        </w:tc>
      </w:tr>
      <w:tr>
        <w:trPr>
          <w:trHeight w:val="216"/>
        </w:trPr>
        <w:tc>
          <w:tcPr>
            <w:tcW w:w="37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108%) x 9.37</w:t>
            </w:r>
          </w:p>
        </w:tc>
        <w:tc>
          <w:tcPr>
            <w:tcW w:w="3800" w:type="dxa"/>
            <w:vAlign w:val="bottom"/>
          </w:tcPr>
          <w:p>
            <w:pPr>
              <w:jc w:val="center"/>
              <w:spacing w:after="0"/>
              <w:rPr>
                <w:sz w:val="20"/>
                <w:szCs w:val="20"/>
                <w:color w:val="auto"/>
              </w:rPr>
            </w:pPr>
            <w:r>
              <w:rPr>
                <w:rFonts w:ascii="Arial" w:cs="Arial" w:eastAsia="Arial" w:hAnsi="Arial"/>
                <w:sz w:val="18"/>
                <w:szCs w:val="18"/>
                <w:color w:val="auto"/>
                <w:w w:val="81"/>
              </w:rPr>
              <w:t>Payout Percentage =</w:t>
            </w:r>
          </w:p>
        </w:tc>
      </w:tr>
      <w:tr>
        <w:trPr>
          <w:trHeight w:val="230"/>
        </w:trPr>
        <w:tc>
          <w:tcPr>
            <w:tcW w:w="37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85"/>
              </w:rPr>
              <w:t>250% + (110% - 108%) x 9.37 = 269%</w:t>
            </w:r>
          </w:p>
        </w:tc>
      </w:tr>
      <w:tr>
        <w:trPr>
          <w:trHeight w:val="81"/>
        </w:trPr>
        <w:tc>
          <w:tcPr>
            <w:tcW w:w="3740" w:type="dxa"/>
            <w:vAlign w:val="bottom"/>
            <w:tcBorders>
              <w:bottom w:val="single" w:sz="8" w:color="auto"/>
              <w:right w:val="single" w:sz="8" w:color="auto"/>
            </w:tcBorders>
          </w:tcPr>
          <w:p>
            <w:pPr>
              <w:spacing w:after="0"/>
              <w:rPr>
                <w:sz w:val="7"/>
                <w:szCs w:val="7"/>
                <w:color w:val="auto"/>
              </w:rPr>
            </w:pPr>
          </w:p>
        </w:tc>
        <w:tc>
          <w:tcPr>
            <w:tcW w:w="3700" w:type="dxa"/>
            <w:vAlign w:val="bottom"/>
            <w:tcBorders>
              <w:bottom w:val="single" w:sz="8" w:color="auto"/>
              <w:right w:val="single" w:sz="8" w:color="auto"/>
            </w:tcBorders>
          </w:tcPr>
          <w:p>
            <w:pPr>
              <w:spacing w:after="0"/>
              <w:rPr>
                <w:sz w:val="7"/>
                <w:szCs w:val="7"/>
                <w:color w:val="auto"/>
              </w:rPr>
            </w:pPr>
          </w:p>
        </w:tc>
        <w:tc>
          <w:tcPr>
            <w:tcW w:w="3800" w:type="dxa"/>
            <w:vAlign w:val="bottom"/>
            <w:tcBorders>
              <w:bottom w:val="single" w:sz="8" w:color="auto"/>
            </w:tcBorders>
          </w:tcPr>
          <w:p>
            <w:pPr>
              <w:spacing w:after="0"/>
              <w:rPr>
                <w:sz w:val="7"/>
                <w:szCs w:val="7"/>
                <w:color w:val="auto"/>
              </w:rPr>
            </w:pPr>
          </w:p>
        </w:tc>
      </w:tr>
    </w:tbl>
    <w:p>
      <w:pPr>
        <w:spacing w:after="0" w:line="306" w:lineRule="exact"/>
        <w:rPr>
          <w:sz w:val="20"/>
          <w:szCs w:val="20"/>
          <w:color w:val="auto"/>
        </w:rPr>
      </w:pPr>
    </w:p>
    <w:p>
      <w:pPr>
        <w:ind w:left="380" w:right="540" w:hanging="372"/>
        <w:spacing w:after="0" w:line="386" w:lineRule="auto"/>
        <w:tabs>
          <w:tab w:leader="none" w:pos="380" w:val="left"/>
        </w:tabs>
        <w:numPr>
          <w:ilvl w:val="0"/>
          <w:numId w:val="39"/>
        </w:numPr>
        <w:rPr>
          <w:rFonts w:ascii="Arial" w:cs="Arial" w:eastAsia="Arial" w:hAnsi="Arial"/>
          <w:sz w:val="15"/>
          <w:szCs w:val="15"/>
          <w:color w:val="1A1C1E"/>
        </w:rPr>
      </w:pPr>
      <w:r>
        <w:rPr>
          <w:rFonts w:ascii="Arial" w:cs="Arial" w:eastAsia="Arial" w:hAnsi="Arial"/>
          <w:sz w:val="15"/>
          <w:szCs w:val="15"/>
          <w:b w:val="1"/>
          <w:bCs w:val="1"/>
          <w:color w:val="1A1C1E"/>
        </w:rPr>
        <w:t>Blended Attainment</w:t>
      </w:r>
      <w:r>
        <w:rPr>
          <w:rFonts w:ascii="Arial" w:cs="Arial" w:eastAsia="Arial" w:hAnsi="Arial"/>
          <w:sz w:val="15"/>
          <w:szCs w:val="15"/>
          <w:color w:val="1A1C1E"/>
        </w:rPr>
        <w:t>. “</w:t>
      </w:r>
      <w:r>
        <w:rPr>
          <w:rFonts w:ascii="Arial" w:cs="Arial" w:eastAsia="Arial" w:hAnsi="Arial"/>
          <w:sz w:val="15"/>
          <w:szCs w:val="15"/>
          <w:b w:val="1"/>
          <w:bCs w:val="1"/>
          <w:color w:val="1A1C1E"/>
        </w:rPr>
        <w:t>Blended Attainment</w:t>
      </w:r>
      <w:r>
        <w:rPr>
          <w:rFonts w:ascii="Arial" w:cs="Arial" w:eastAsia="Arial" w:hAnsi="Arial"/>
          <w:sz w:val="15"/>
          <w:szCs w:val="15"/>
          <w:color w:val="1A1C1E"/>
        </w:rPr>
        <w:t>” means the sum of each FO Product for each Financial Objective in the Blended Attainment Table. For each</w:t>
      </w:r>
      <w:r>
        <w:rPr>
          <w:rFonts w:ascii="Arial" w:cs="Arial" w:eastAsia="Arial" w:hAnsi="Arial"/>
          <w:sz w:val="15"/>
          <w:szCs w:val="15"/>
          <w:b w:val="1"/>
          <w:bCs w:val="1"/>
          <w:color w:val="1A1C1E"/>
        </w:rPr>
        <w:t xml:space="preserve"> </w:t>
      </w:r>
      <w:r>
        <w:rPr>
          <w:rFonts w:ascii="Arial" w:cs="Arial" w:eastAsia="Arial" w:hAnsi="Arial"/>
          <w:sz w:val="15"/>
          <w:szCs w:val="15"/>
          <w:color w:val="1A1C1E"/>
        </w:rPr>
        <w:t>Financial Objective, the “</w:t>
      </w:r>
      <w:r>
        <w:rPr>
          <w:rFonts w:ascii="Arial" w:cs="Arial" w:eastAsia="Arial" w:hAnsi="Arial"/>
          <w:sz w:val="15"/>
          <w:szCs w:val="15"/>
          <w:b w:val="1"/>
          <w:bCs w:val="1"/>
          <w:color w:val="1A1C1E"/>
        </w:rPr>
        <w:t>FO Product</w:t>
      </w:r>
      <w:r>
        <w:rPr>
          <w:rFonts w:ascii="Arial" w:cs="Arial" w:eastAsia="Arial" w:hAnsi="Arial"/>
          <w:sz w:val="15"/>
          <w:szCs w:val="15"/>
          <w:color w:val="1A1C1E"/>
        </w:rPr>
        <w:t>” means the product of the corresponding Weight multiplied by the corresponding Performance Quotient.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105410</wp:posOffset>
            </wp:positionV>
            <wp:extent cx="4414520" cy="1722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4414520" cy="172275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Attainment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2160" w:type="dxa"/>
            <w:vAlign w:val="bottom"/>
          </w:tcPr>
          <w:p>
            <w:pPr>
              <w:spacing w:after="0"/>
              <w:rPr>
                <w:sz w:val="24"/>
                <w:szCs w:val="24"/>
                <w:color w:val="auto"/>
              </w:rPr>
            </w:pP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Financial Objective</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Weight</w:t>
            </w: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Performance Quotient</w:t>
            </w:r>
          </w:p>
        </w:tc>
        <w:tc>
          <w:tcPr>
            <w:tcW w:w="2160" w:type="dxa"/>
            <w:vAlign w:val="bottom"/>
          </w:tcPr>
          <w:p>
            <w:pPr>
              <w:spacing w:after="0"/>
              <w:rPr>
                <w:sz w:val="24"/>
                <w:szCs w:val="24"/>
                <w:color w:val="auto"/>
              </w:rPr>
            </w:pPr>
          </w:p>
        </w:tc>
      </w:tr>
      <w:tr>
        <w:trPr>
          <w:trHeight w:val="175"/>
        </w:trPr>
        <w:tc>
          <w:tcPr>
            <w:tcW w:w="2160" w:type="dxa"/>
            <w:vAlign w:val="bottom"/>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2160" w:type="dxa"/>
            <w:vAlign w:val="bottom"/>
          </w:tcPr>
          <w:p>
            <w:pPr>
              <w:spacing w:after="0"/>
              <w:rPr>
                <w:sz w:val="15"/>
                <w:szCs w:val="15"/>
                <w:color w:val="auto"/>
              </w:rPr>
            </w:pPr>
          </w:p>
        </w:tc>
      </w:tr>
      <w:tr>
        <w:trPr>
          <w:trHeight w:val="195"/>
        </w:trPr>
        <w:tc>
          <w:tcPr>
            <w:tcW w:w="2160" w:type="dxa"/>
            <w:vAlign w:val="bottom"/>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6"/>
              </w:rPr>
              <w:t>GAAP Revenue</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60%</w:t>
            </w: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85"/>
              </w:rPr>
              <w:t>2020 GAAP Revenue divided by Operating Plan</w:t>
            </w:r>
          </w:p>
        </w:tc>
        <w:tc>
          <w:tcPr>
            <w:tcW w:w="2160" w:type="dxa"/>
            <w:vAlign w:val="bottom"/>
          </w:tcPr>
          <w:p>
            <w:pPr>
              <w:spacing w:after="0"/>
              <w:rPr>
                <w:sz w:val="16"/>
                <w:szCs w:val="16"/>
                <w:color w:val="auto"/>
              </w:rPr>
            </w:pPr>
          </w:p>
        </w:tc>
      </w:tr>
      <w:tr>
        <w:trPr>
          <w:trHeight w:val="230"/>
        </w:trPr>
        <w:tc>
          <w:tcPr>
            <w:tcW w:w="21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3"/>
              </w:rPr>
              <w:t>2020 Revenue</w:t>
            </w:r>
          </w:p>
        </w:tc>
        <w:tc>
          <w:tcPr>
            <w:tcW w:w="2160" w:type="dxa"/>
            <w:vAlign w:val="bottom"/>
          </w:tcPr>
          <w:p>
            <w:pPr>
              <w:spacing w:after="0"/>
              <w:rPr>
                <w:sz w:val="20"/>
                <w:szCs w:val="20"/>
                <w:color w:val="auto"/>
              </w:rPr>
            </w:pPr>
          </w:p>
        </w:tc>
      </w:tr>
      <w:tr>
        <w:trPr>
          <w:trHeight w:val="68"/>
        </w:trPr>
        <w:tc>
          <w:tcPr>
            <w:tcW w:w="2160" w:type="dxa"/>
            <w:vAlign w:val="bottom"/>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2160" w:type="dxa"/>
            <w:vAlign w:val="bottom"/>
          </w:tcPr>
          <w:p>
            <w:pPr>
              <w:spacing w:after="0"/>
              <w:rPr>
                <w:sz w:val="5"/>
                <w:szCs w:val="5"/>
                <w:color w:val="auto"/>
              </w:rPr>
            </w:pPr>
          </w:p>
        </w:tc>
      </w:tr>
      <w:tr>
        <w:trPr>
          <w:trHeight w:val="195"/>
        </w:trPr>
        <w:tc>
          <w:tcPr>
            <w:tcW w:w="2160" w:type="dxa"/>
            <w:vAlign w:val="bottom"/>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0"/>
              </w:rPr>
              <w:t>Net New MRR</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25%</w:t>
            </w: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86"/>
              </w:rPr>
              <w:t>2020 Net New MRR divided by Operating Plan 2020</w:t>
            </w:r>
          </w:p>
        </w:tc>
        <w:tc>
          <w:tcPr>
            <w:tcW w:w="2160" w:type="dxa"/>
            <w:vAlign w:val="bottom"/>
          </w:tcPr>
          <w:p>
            <w:pPr>
              <w:spacing w:after="0"/>
              <w:rPr>
                <w:sz w:val="16"/>
                <w:szCs w:val="16"/>
                <w:color w:val="auto"/>
              </w:rPr>
            </w:pPr>
          </w:p>
        </w:tc>
      </w:tr>
      <w:tr>
        <w:trPr>
          <w:trHeight w:val="230"/>
        </w:trPr>
        <w:tc>
          <w:tcPr>
            <w:tcW w:w="21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Net New MRR</w:t>
            </w:r>
          </w:p>
        </w:tc>
        <w:tc>
          <w:tcPr>
            <w:tcW w:w="2160" w:type="dxa"/>
            <w:vAlign w:val="bottom"/>
          </w:tcPr>
          <w:p>
            <w:pPr>
              <w:spacing w:after="0"/>
              <w:rPr>
                <w:sz w:val="20"/>
                <w:szCs w:val="20"/>
                <w:color w:val="auto"/>
              </w:rPr>
            </w:pPr>
          </w:p>
        </w:tc>
      </w:tr>
      <w:tr>
        <w:trPr>
          <w:trHeight w:val="148"/>
        </w:trPr>
        <w:tc>
          <w:tcPr>
            <w:tcW w:w="2160" w:type="dxa"/>
            <w:vAlign w:val="bottom"/>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195"/>
        </w:trPr>
        <w:tc>
          <w:tcPr>
            <w:tcW w:w="2160" w:type="dxa"/>
            <w:vAlign w:val="bottom"/>
          </w:tcPr>
          <w:p>
            <w:pPr>
              <w:spacing w:after="0"/>
              <w:rPr>
                <w:sz w:val="16"/>
                <w:szCs w:val="16"/>
                <w:color w:val="auto"/>
              </w:rPr>
            </w:pPr>
          </w:p>
        </w:tc>
        <w:tc>
          <w:tcPr>
            <w:tcW w:w="2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8"/>
              </w:rPr>
              <w:t>EBITDA</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15%</w:t>
            </w: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86"/>
              </w:rPr>
              <w:t>2020 EBITDA divided by Operating Plan 2020</w:t>
            </w:r>
          </w:p>
        </w:tc>
        <w:tc>
          <w:tcPr>
            <w:tcW w:w="2160" w:type="dxa"/>
            <w:vAlign w:val="bottom"/>
          </w:tcPr>
          <w:p>
            <w:pPr>
              <w:spacing w:after="0"/>
              <w:rPr>
                <w:sz w:val="16"/>
                <w:szCs w:val="16"/>
                <w:color w:val="auto"/>
              </w:rPr>
            </w:pPr>
          </w:p>
        </w:tc>
      </w:tr>
      <w:tr>
        <w:trPr>
          <w:trHeight w:val="230"/>
        </w:trPr>
        <w:tc>
          <w:tcPr>
            <w:tcW w:w="216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EBITDA</w:t>
            </w:r>
          </w:p>
        </w:tc>
        <w:tc>
          <w:tcPr>
            <w:tcW w:w="2160" w:type="dxa"/>
            <w:vAlign w:val="bottom"/>
          </w:tcPr>
          <w:p>
            <w:pPr>
              <w:spacing w:after="0"/>
              <w:rPr>
                <w:sz w:val="20"/>
                <w:szCs w:val="20"/>
                <w:color w:val="auto"/>
              </w:rPr>
            </w:pPr>
          </w:p>
        </w:tc>
      </w:tr>
      <w:tr>
        <w:trPr>
          <w:trHeight w:val="149"/>
        </w:trPr>
        <w:tc>
          <w:tcPr>
            <w:tcW w:w="2160" w:type="dxa"/>
            <w:vAlign w:val="bottom"/>
          </w:tcPr>
          <w:p>
            <w:pPr>
              <w:spacing w:after="0"/>
              <w:rPr>
                <w:sz w:val="12"/>
                <w:szCs w:val="12"/>
                <w:color w:val="auto"/>
              </w:rPr>
            </w:pPr>
          </w:p>
        </w:tc>
        <w:tc>
          <w:tcPr>
            <w:tcW w:w="22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2160" w:type="dxa"/>
            <w:vAlign w:val="bottom"/>
          </w:tcPr>
          <w:p>
            <w:pPr>
              <w:spacing w:after="0"/>
              <w:rPr>
                <w:sz w:val="12"/>
                <w:szCs w:val="12"/>
                <w:color w:val="auto"/>
              </w:rPr>
            </w:pPr>
          </w:p>
        </w:tc>
      </w:tr>
      <w:tr>
        <w:trPr>
          <w:trHeight w:val="324"/>
        </w:trPr>
        <w:tc>
          <w:tcPr>
            <w:tcW w:w="21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77" w:name="page78"/>
    <w:bookmarkEnd w:id="77"/>
    <w:p>
      <w:pPr>
        <w:ind w:right="6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Operating Plan</w:t>
      </w:r>
      <w:r>
        <w:rPr>
          <w:rFonts w:ascii="Arial" w:cs="Arial" w:eastAsia="Arial" w:hAnsi="Arial"/>
          <w:sz w:val="17"/>
          <w:szCs w:val="17"/>
          <w:color w:val="auto"/>
        </w:rPr>
        <w:t>” means the most recent board-approved operating plan. “</w:t>
      </w:r>
      <w:r>
        <w:rPr>
          <w:rFonts w:ascii="Arial" w:cs="Arial" w:eastAsia="Arial" w:hAnsi="Arial"/>
          <w:sz w:val="17"/>
          <w:szCs w:val="17"/>
          <w:b w:val="1"/>
          <w:bCs w:val="1"/>
          <w:color w:val="auto"/>
        </w:rPr>
        <w:t>Net New MRR</w:t>
      </w:r>
      <w:r>
        <w:rPr>
          <w:rFonts w:ascii="Arial" w:cs="Arial" w:eastAsia="Arial" w:hAnsi="Arial"/>
          <w:sz w:val="17"/>
          <w:szCs w:val="17"/>
          <w:color w:val="auto"/>
        </w:rPr>
        <w:t>” means net new monthly recurring revenue, as determined by the Compensation Committee. “</w:t>
      </w:r>
      <w:r>
        <w:rPr>
          <w:rFonts w:ascii="Arial" w:cs="Arial" w:eastAsia="Arial" w:hAnsi="Arial"/>
          <w:sz w:val="17"/>
          <w:szCs w:val="17"/>
          <w:b w:val="1"/>
          <w:bCs w:val="1"/>
          <w:color w:val="auto"/>
        </w:rPr>
        <w:t>EBITDA</w:t>
      </w:r>
      <w:r>
        <w:rPr>
          <w:rFonts w:ascii="Arial" w:cs="Arial" w:eastAsia="Arial" w:hAnsi="Arial"/>
          <w:sz w:val="17"/>
          <w:szCs w:val="17"/>
          <w:color w:val="auto"/>
        </w:rPr>
        <w:t>” means our adjusted EBITDA, as determined by the Compensation Committee.</w:t>
      </w:r>
    </w:p>
    <w:p>
      <w:pPr>
        <w:spacing w:after="0" w:line="99"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b w:val="1"/>
          <w:bCs w:val="1"/>
          <w:color w:val="1A1C1E"/>
        </w:rPr>
      </w:pPr>
      <w:r>
        <w:rPr>
          <w:rFonts w:ascii="Arial" w:cs="Arial" w:eastAsia="Arial" w:hAnsi="Arial"/>
          <w:sz w:val="18"/>
          <w:szCs w:val="18"/>
          <w:b w:val="1"/>
          <w:bCs w:val="1"/>
          <w:color w:val="1A1C1E"/>
        </w:rPr>
        <w:t>Illustrative Blended Attainment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188595</wp:posOffset>
            </wp:positionV>
            <wp:extent cx="4577715" cy="26574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457771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80" w:hanging="372"/>
        <w:spacing w:after="0" w:line="282" w:lineRule="auto"/>
        <w:tabs>
          <w:tab w:leader="none" w:pos="380" w:val="left"/>
        </w:tabs>
        <w:numPr>
          <w:ilvl w:val="0"/>
          <w:numId w:val="41"/>
        </w:numPr>
        <w:rPr>
          <w:rFonts w:ascii="Arial" w:cs="Arial" w:eastAsia="Arial" w:hAnsi="Arial"/>
          <w:sz w:val="18"/>
          <w:szCs w:val="18"/>
          <w:color w:val="1A1C1E"/>
        </w:rPr>
      </w:pPr>
      <w:r>
        <w:rPr>
          <w:rFonts w:ascii="Arial" w:cs="Arial" w:eastAsia="Arial" w:hAnsi="Arial"/>
          <w:sz w:val="18"/>
          <w:szCs w:val="18"/>
          <w:b w:val="1"/>
          <w:bCs w:val="1"/>
          <w:color w:val="1A1C1E"/>
        </w:rPr>
        <w:t xml:space="preserve">Communications. </w:t>
      </w:r>
      <w:r>
        <w:rPr>
          <w:rFonts w:ascii="Arial" w:cs="Arial" w:eastAsia="Arial" w:hAnsi="Arial"/>
          <w:sz w:val="18"/>
          <w:szCs w:val="18"/>
          <w:color w:val="1A1C1E"/>
        </w:rPr>
        <w:t>No commitments, verbal or written, may be made to any participant regarding a Participant Bonus Payment unless approved in writing by the</w:t>
      </w:r>
      <w:r>
        <w:rPr>
          <w:rFonts w:ascii="Arial" w:cs="Arial" w:eastAsia="Arial" w:hAnsi="Arial"/>
          <w:sz w:val="18"/>
          <w:szCs w:val="18"/>
          <w:b w:val="1"/>
          <w:bCs w:val="1"/>
          <w:color w:val="1A1C1E"/>
        </w:rPr>
        <w:t xml:space="preserve"> </w:t>
      </w:r>
      <w:r>
        <w:rPr>
          <w:rFonts w:ascii="Arial" w:cs="Arial" w:eastAsia="Arial" w:hAnsi="Arial"/>
          <w:sz w:val="18"/>
          <w:szCs w:val="18"/>
          <w:color w:val="1A1C1E"/>
        </w:rPr>
        <w:t>Company’s chief executive officer (the “</w:t>
      </w:r>
      <w:r>
        <w:rPr>
          <w:rFonts w:ascii="Arial" w:cs="Arial" w:eastAsia="Arial" w:hAnsi="Arial"/>
          <w:sz w:val="18"/>
          <w:szCs w:val="18"/>
          <w:b w:val="1"/>
          <w:bCs w:val="1"/>
          <w:color w:val="1A1C1E"/>
        </w:rPr>
        <w:t>CEO</w:t>
      </w:r>
      <w:r>
        <w:rPr>
          <w:rFonts w:ascii="Arial" w:cs="Arial" w:eastAsia="Arial" w:hAnsi="Arial"/>
          <w:sz w:val="18"/>
          <w:szCs w:val="18"/>
          <w:color w:val="1A1C1E"/>
        </w:rPr>
        <w:t>”).</w:t>
      </w:r>
    </w:p>
    <w:p>
      <w:pPr>
        <w:spacing w:after="0" w:line="107" w:lineRule="exact"/>
        <w:rPr>
          <w:rFonts w:ascii="Arial" w:cs="Arial" w:eastAsia="Arial" w:hAnsi="Arial"/>
          <w:sz w:val="18"/>
          <w:szCs w:val="18"/>
          <w:color w:val="1A1C1E"/>
        </w:rPr>
      </w:pPr>
    </w:p>
    <w:p>
      <w:pPr>
        <w:ind w:left="380" w:right="560" w:hanging="372"/>
        <w:spacing w:after="0" w:line="347" w:lineRule="auto"/>
        <w:tabs>
          <w:tab w:leader="none" w:pos="380" w:val="left"/>
        </w:tabs>
        <w:numPr>
          <w:ilvl w:val="0"/>
          <w:numId w:val="41"/>
        </w:numPr>
        <w:rPr>
          <w:rFonts w:ascii="Arial" w:cs="Arial" w:eastAsia="Arial" w:hAnsi="Arial"/>
          <w:sz w:val="16"/>
          <w:szCs w:val="16"/>
          <w:color w:val="1A1C1E"/>
        </w:rPr>
      </w:pPr>
      <w:r>
        <w:rPr>
          <w:rFonts w:ascii="Arial" w:cs="Arial" w:eastAsia="Arial" w:hAnsi="Arial"/>
          <w:sz w:val="16"/>
          <w:szCs w:val="16"/>
          <w:b w:val="1"/>
          <w:bCs w:val="1"/>
          <w:color w:val="1A1C1E"/>
        </w:rPr>
        <w:t>Promotions; New Hires</w:t>
      </w:r>
      <w:r>
        <w:rPr>
          <w:rFonts w:ascii="Arial" w:cs="Arial" w:eastAsia="Arial" w:hAnsi="Arial"/>
          <w:sz w:val="16"/>
          <w:szCs w:val="16"/>
          <w:color w:val="1A1C1E"/>
        </w:rPr>
        <w:t>. Recently promoted participants will have their Participant Bonus Payments pro-rated based on the first date of the participant’s</w:t>
      </w:r>
      <w:r>
        <w:rPr>
          <w:rFonts w:ascii="Arial" w:cs="Arial" w:eastAsia="Arial" w:hAnsi="Arial"/>
          <w:sz w:val="16"/>
          <w:szCs w:val="16"/>
          <w:b w:val="1"/>
          <w:bCs w:val="1"/>
          <w:color w:val="1A1C1E"/>
        </w:rPr>
        <w:t xml:space="preserve"> </w:t>
      </w:r>
      <w:r>
        <w:rPr>
          <w:rFonts w:ascii="Arial" w:cs="Arial" w:eastAsia="Arial" w:hAnsi="Arial"/>
          <w:sz w:val="16"/>
          <w:szCs w:val="16"/>
          <w:color w:val="1A1C1E"/>
        </w:rPr>
        <w:t>eligibility for this Plan. Participant Bonus Payments for new hires will be calculated pro rata based on start date of the participant.</w:t>
      </w:r>
    </w:p>
    <w:p>
      <w:pPr>
        <w:spacing w:after="0" w:line="61" w:lineRule="exact"/>
        <w:rPr>
          <w:rFonts w:ascii="Arial" w:cs="Arial" w:eastAsia="Arial" w:hAnsi="Arial"/>
          <w:sz w:val="16"/>
          <w:szCs w:val="16"/>
          <w:color w:val="1A1C1E"/>
        </w:rPr>
      </w:pPr>
    </w:p>
    <w:p>
      <w:pPr>
        <w:ind w:left="380" w:hanging="372"/>
        <w:spacing w:after="0"/>
        <w:tabs>
          <w:tab w:leader="none" w:pos="380" w:val="left"/>
        </w:tabs>
        <w:numPr>
          <w:ilvl w:val="0"/>
          <w:numId w:val="41"/>
        </w:numPr>
        <w:rPr>
          <w:rFonts w:ascii="Arial" w:cs="Arial" w:eastAsia="Arial" w:hAnsi="Arial"/>
          <w:sz w:val="18"/>
          <w:szCs w:val="18"/>
          <w:b w:val="1"/>
          <w:bCs w:val="1"/>
          <w:color w:val="1A1C1E"/>
        </w:rPr>
      </w:pPr>
      <w:r>
        <w:rPr>
          <w:rFonts w:ascii="Arial" w:cs="Arial" w:eastAsia="Arial" w:hAnsi="Arial"/>
          <w:sz w:val="18"/>
          <w:szCs w:val="18"/>
          <w:b w:val="1"/>
          <w:bCs w:val="1"/>
          <w:color w:val="1A1C1E"/>
        </w:rPr>
        <w:t>Miscellaneous.</w:t>
      </w:r>
    </w:p>
    <w:p>
      <w:pPr>
        <w:spacing w:after="0" w:line="171" w:lineRule="exact"/>
        <w:rPr>
          <w:rFonts w:ascii="Arial" w:cs="Arial" w:eastAsia="Arial" w:hAnsi="Arial"/>
          <w:sz w:val="18"/>
          <w:szCs w:val="18"/>
          <w:b w:val="1"/>
          <w:bCs w:val="1"/>
          <w:color w:val="1A1C1E"/>
        </w:rPr>
      </w:pPr>
    </w:p>
    <w:p>
      <w:pPr>
        <w:ind w:left="840" w:right="120" w:hanging="445"/>
        <w:spacing w:after="0" w:line="266" w:lineRule="auto"/>
        <w:rPr>
          <w:rFonts w:ascii="Arial" w:cs="Arial" w:eastAsia="Arial" w:hAnsi="Arial"/>
          <w:sz w:val="18"/>
          <w:szCs w:val="18"/>
          <w:b w:val="1"/>
          <w:bCs w:val="1"/>
          <w:color w:val="1A1C1E"/>
        </w:rPr>
      </w:pPr>
      <w:r>
        <w:rPr>
          <w:rFonts w:ascii="Arial" w:cs="Arial" w:eastAsia="Arial" w:hAnsi="Arial"/>
          <w:sz w:val="18"/>
          <w:szCs w:val="18"/>
          <w:color w:val="1A1C1E"/>
        </w:rPr>
        <w:t xml:space="preserve">10.1. </w:t>
      </w:r>
      <w:r>
        <w:rPr>
          <w:rFonts w:ascii="Arial" w:cs="Arial" w:eastAsia="Arial" w:hAnsi="Arial"/>
          <w:sz w:val="18"/>
          <w:szCs w:val="18"/>
          <w:b w:val="1"/>
          <w:bCs w:val="1"/>
          <w:color w:val="1A1C1E"/>
        </w:rPr>
        <w:t>General.</w:t>
      </w:r>
      <w:r>
        <w:rPr>
          <w:rFonts w:ascii="Arial" w:cs="Arial" w:eastAsia="Arial" w:hAnsi="Arial"/>
          <w:sz w:val="18"/>
          <w:szCs w:val="18"/>
          <w:color w:val="1A1C1E"/>
        </w:rPr>
        <w:t xml:space="preserve"> The CEO will administer this Plan. The Compensation Committee of the Board of Directors will interpret all aspects of this Plan, including the definitions of objectives. Any exceptions to this Plan will be recommended by the Compensation Committee and approved by the Board of Directors (“</w:t>
      </w:r>
      <w:r>
        <w:rPr>
          <w:rFonts w:ascii="Arial" w:cs="Arial" w:eastAsia="Arial" w:hAnsi="Arial"/>
          <w:sz w:val="18"/>
          <w:szCs w:val="18"/>
          <w:b w:val="1"/>
          <w:bCs w:val="1"/>
          <w:color w:val="1A1C1E"/>
        </w:rPr>
        <w:t>Exception Approval</w:t>
      </w:r>
      <w:r>
        <w:rPr>
          <w:rFonts w:ascii="Arial" w:cs="Arial" w:eastAsia="Arial" w:hAnsi="Arial"/>
          <w:sz w:val="18"/>
          <w:szCs w:val="18"/>
          <w:color w:val="1A1C1E"/>
        </w:rPr>
        <w:t>”).</w:t>
      </w:r>
    </w:p>
    <w:p>
      <w:pPr>
        <w:spacing w:after="0" w:line="121"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10.2. </w:t>
      </w:r>
      <w:r>
        <w:rPr>
          <w:rFonts w:ascii="Arial" w:cs="Arial" w:eastAsia="Arial" w:hAnsi="Arial"/>
          <w:sz w:val="18"/>
          <w:szCs w:val="18"/>
          <w:b w:val="1"/>
          <w:bCs w:val="1"/>
          <w:color w:val="1A1C1E"/>
        </w:rPr>
        <w:t>At-Will Employment.</w:t>
      </w:r>
      <w:r>
        <w:rPr>
          <w:rFonts w:ascii="Arial" w:cs="Arial" w:eastAsia="Arial" w:hAnsi="Arial"/>
          <w:sz w:val="18"/>
          <w:szCs w:val="18"/>
          <w:color w:val="1A1C1E"/>
        </w:rPr>
        <w:t xml:space="preserve"> Participation in the Bonus Plan does not confer any right to continue to be employed by the Company.</w:t>
      </w:r>
    </w:p>
    <w:p>
      <w:pPr>
        <w:spacing w:after="0" w:line="171"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10.3. </w:t>
      </w:r>
      <w:r>
        <w:rPr>
          <w:rFonts w:ascii="Arial" w:cs="Arial" w:eastAsia="Arial" w:hAnsi="Arial"/>
          <w:sz w:val="18"/>
          <w:szCs w:val="18"/>
          <w:b w:val="1"/>
          <w:bCs w:val="1"/>
          <w:color w:val="1A1C1E"/>
        </w:rPr>
        <w:t>Modifications.</w:t>
      </w:r>
      <w:r>
        <w:rPr>
          <w:rFonts w:ascii="Arial" w:cs="Arial" w:eastAsia="Arial" w:hAnsi="Arial"/>
          <w:sz w:val="18"/>
          <w:szCs w:val="18"/>
          <w:color w:val="1A1C1E"/>
        </w:rPr>
        <w:t xml:space="preserve"> The Company retains the absolute right to modify, alter or terminate this Plan at any time without notice.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have received and reviewed the terms of the 2020 Executive Bonus Plan. I understand and agree that this Plan does not create a contract of employment.</w:t>
      </w:r>
    </w:p>
    <w:p>
      <w:pPr>
        <w:spacing w:after="0" w:line="321" w:lineRule="exact"/>
        <w:rPr>
          <w:sz w:val="20"/>
          <w:szCs w:val="20"/>
          <w:color w:val="auto"/>
        </w:rPr>
      </w:pPr>
    </w:p>
    <w:p>
      <w:pPr>
        <w:spacing w:after="0"/>
        <w:tabs>
          <w:tab w:leader="none" w:pos="5600" w:val="left"/>
        </w:tabs>
        <w:rPr>
          <w:sz w:val="20"/>
          <w:szCs w:val="20"/>
          <w:color w:val="auto"/>
        </w:rPr>
      </w:pPr>
      <w:r>
        <w:rPr>
          <w:rFonts w:ascii="Arial" w:cs="Arial" w:eastAsia="Arial" w:hAnsi="Arial"/>
          <w:sz w:val="20"/>
          <w:szCs w:val="20"/>
          <w:b w:val="1"/>
          <w:bCs w:val="1"/>
          <w:color w:val="auto"/>
        </w:rPr>
        <w:t>Signature</w:t>
      </w:r>
      <w:r>
        <w:rPr>
          <w:rFonts w:ascii="Arial" w:cs="Arial" w:eastAsia="Arial" w:hAnsi="Arial"/>
          <w:sz w:val="20"/>
          <w:szCs w:val="20"/>
          <w:color w:val="auto"/>
        </w:rPr>
        <w:t>: __________________________________________</w:t>
      </w:r>
      <w:r>
        <w:rPr>
          <w:sz w:val="20"/>
          <w:szCs w:val="20"/>
          <w:color w:val="auto"/>
        </w:rPr>
        <w:tab/>
      </w:r>
      <w:r>
        <w:rPr>
          <w:rFonts w:ascii="Arial" w:cs="Arial" w:eastAsia="Arial" w:hAnsi="Arial"/>
          <w:sz w:val="16"/>
          <w:szCs w:val="16"/>
          <w:b w:val="1"/>
          <w:bCs w:val="1"/>
          <w:color w:val="auto"/>
        </w:rPr>
        <w:t>Date</w:t>
      </w:r>
      <w:r>
        <w:rPr>
          <w:rFonts w:ascii="Arial" w:cs="Arial" w:eastAsia="Arial" w:hAnsi="Arial"/>
          <w:sz w:val="16"/>
          <w:szCs w:val="16"/>
          <w:color w:val="auto"/>
        </w:rPr>
        <w:t>: __________________</w:t>
      </w: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21"/>
          <w:szCs w:val="21"/>
          <w:b w:val="1"/>
          <w:bCs w:val="1"/>
          <w:color w:val="auto"/>
        </w:rPr>
        <w:t>2</w:t>
      </w:r>
      <w:r>
        <w:rPr>
          <w:rFonts w:ascii="Arial" w:cs="Arial" w:eastAsia="Arial" w:hAnsi="Arial"/>
          <w:sz w:val="18"/>
          <w:szCs w:val="18"/>
          <w:color w:val="auto"/>
        </w:rPr>
        <w:t xml:space="preserve"> of </w:t>
      </w:r>
      <w:r>
        <w:rPr>
          <w:rFonts w:ascii="Arial" w:cs="Arial" w:eastAsia="Arial" w:hAnsi="Arial"/>
          <w:sz w:val="21"/>
          <w:szCs w:val="21"/>
          <w:b w:val="1"/>
          <w:bCs w:val="1"/>
          <w:color w:val="auto"/>
        </w:rPr>
        <w:t>3</w:t>
      </w:r>
    </w:p>
    <w:p>
      <w:pPr>
        <w:sectPr>
          <w:pgSz w:w="11900" w:h="16838" w:orient="portrait"/>
          <w:cols w:equalWidth="0" w:num="1">
            <w:col w:w="11160"/>
          </w:cols>
          <w:pgMar w:left="320" w:top="783" w:right="4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1A1C1E"/>
        </w:rPr>
        <w:t>2021 Executive Bonus Plan</w:t>
      </w:r>
    </w:p>
    <w:p>
      <w:pPr>
        <w:spacing w:after="0" w:line="235" w:lineRule="exact"/>
        <w:rPr>
          <w:sz w:val="20"/>
          <w:szCs w:val="20"/>
          <w:color w:val="auto"/>
        </w:rPr>
      </w:pPr>
    </w:p>
    <w:p>
      <w:pPr>
        <w:ind w:left="380" w:right="680" w:hanging="372"/>
        <w:spacing w:after="0" w:line="282" w:lineRule="auto"/>
        <w:tabs>
          <w:tab w:leader="none" w:pos="380" w:val="left"/>
        </w:tabs>
        <w:numPr>
          <w:ilvl w:val="0"/>
          <w:numId w:val="42"/>
        </w:numPr>
        <w:rPr>
          <w:rFonts w:ascii="Arial" w:cs="Arial" w:eastAsia="Arial" w:hAnsi="Arial"/>
          <w:sz w:val="18"/>
          <w:szCs w:val="18"/>
          <w:color w:val="1A1C1E"/>
        </w:rPr>
      </w:pPr>
      <w:r>
        <w:rPr>
          <w:rFonts w:ascii="Arial" w:cs="Arial" w:eastAsia="Arial" w:hAnsi="Arial"/>
          <w:sz w:val="18"/>
          <w:szCs w:val="18"/>
          <w:b w:val="1"/>
          <w:bCs w:val="1"/>
          <w:color w:val="1A1C1E"/>
        </w:rPr>
        <w:t xml:space="preserve">Purpose. </w:t>
      </w:r>
      <w:r>
        <w:rPr>
          <w:rFonts w:ascii="Arial" w:cs="Arial" w:eastAsia="Arial" w:hAnsi="Arial"/>
          <w:sz w:val="18"/>
          <w:szCs w:val="18"/>
          <w:color w:val="1A1C1E"/>
        </w:rPr>
        <w:t>The purpose of the 2021 Executive Bonus Plan (this “</w:t>
      </w:r>
      <w:r>
        <w:rPr>
          <w:rFonts w:ascii="Arial" w:cs="Arial" w:eastAsia="Arial" w:hAnsi="Arial"/>
          <w:sz w:val="18"/>
          <w:szCs w:val="18"/>
          <w:b w:val="1"/>
          <w:bCs w:val="1"/>
          <w:color w:val="1A1C1E"/>
        </w:rPr>
        <w:t>Plan</w:t>
      </w:r>
      <w:r>
        <w:rPr>
          <w:rFonts w:ascii="Arial" w:cs="Arial" w:eastAsia="Arial" w:hAnsi="Arial"/>
          <w:sz w:val="18"/>
          <w:szCs w:val="18"/>
          <w:color w:val="1A1C1E"/>
        </w:rPr>
        <w:t>”) is to encourage, recognize, and annually reward the achievement of key financial</w:t>
      </w:r>
      <w:r>
        <w:rPr>
          <w:rFonts w:ascii="Arial" w:cs="Arial" w:eastAsia="Arial" w:hAnsi="Arial"/>
          <w:sz w:val="18"/>
          <w:szCs w:val="18"/>
          <w:b w:val="1"/>
          <w:bCs w:val="1"/>
          <w:color w:val="1A1C1E"/>
        </w:rPr>
        <w:t xml:space="preserve"> </w:t>
      </w:r>
      <w:r>
        <w:rPr>
          <w:rFonts w:ascii="Arial" w:cs="Arial" w:eastAsia="Arial" w:hAnsi="Arial"/>
          <w:sz w:val="18"/>
          <w:szCs w:val="18"/>
          <w:color w:val="1A1C1E"/>
        </w:rPr>
        <w:t>objectives for BigCommerce Holdings, Inc. (together with its subsidiaries, the “</w:t>
      </w:r>
      <w:r>
        <w:rPr>
          <w:rFonts w:ascii="Arial" w:cs="Arial" w:eastAsia="Arial" w:hAnsi="Arial"/>
          <w:sz w:val="18"/>
          <w:szCs w:val="18"/>
          <w:b w:val="1"/>
          <w:bCs w:val="1"/>
          <w:color w:val="1A1C1E"/>
        </w:rPr>
        <w:t>Company</w:t>
      </w:r>
      <w:r>
        <w:rPr>
          <w:rFonts w:ascii="Arial" w:cs="Arial" w:eastAsia="Arial" w:hAnsi="Arial"/>
          <w:sz w:val="18"/>
          <w:szCs w:val="18"/>
          <w:color w:val="1A1C1E"/>
        </w:rPr>
        <w:t>”).</w:t>
      </w:r>
    </w:p>
    <w:p>
      <w:pPr>
        <w:spacing w:after="0" w:line="53" w:lineRule="exact"/>
        <w:rPr>
          <w:rFonts w:ascii="Arial" w:cs="Arial" w:eastAsia="Arial" w:hAnsi="Arial"/>
          <w:sz w:val="18"/>
          <w:szCs w:val="18"/>
          <w:color w:val="1A1C1E"/>
        </w:rPr>
      </w:pPr>
    </w:p>
    <w:p>
      <w:pPr>
        <w:ind w:left="380" w:right="380" w:hanging="372"/>
        <w:spacing w:after="0" w:line="282" w:lineRule="auto"/>
        <w:tabs>
          <w:tab w:leader="none" w:pos="380" w:val="left"/>
        </w:tabs>
        <w:numPr>
          <w:ilvl w:val="0"/>
          <w:numId w:val="42"/>
        </w:numPr>
        <w:rPr>
          <w:rFonts w:ascii="Arial" w:cs="Arial" w:eastAsia="Arial" w:hAnsi="Arial"/>
          <w:sz w:val="18"/>
          <w:szCs w:val="18"/>
          <w:color w:val="1A1C1E"/>
        </w:rPr>
      </w:pPr>
      <w:r>
        <w:rPr>
          <w:rFonts w:ascii="Arial" w:cs="Arial" w:eastAsia="Arial" w:hAnsi="Arial"/>
          <w:sz w:val="18"/>
          <w:szCs w:val="18"/>
          <w:b w:val="1"/>
          <w:bCs w:val="1"/>
          <w:color w:val="1A1C1E"/>
        </w:rPr>
        <w:t xml:space="preserve">Period. </w:t>
      </w:r>
      <w:r>
        <w:rPr>
          <w:rFonts w:ascii="Arial" w:cs="Arial" w:eastAsia="Arial" w:hAnsi="Arial"/>
          <w:sz w:val="18"/>
          <w:szCs w:val="18"/>
          <w:color w:val="1A1C1E"/>
        </w:rPr>
        <w:t>This Plan period covers the Company’s fiscal year beginning on January 1, 2021 and ending on December 31, 2021. Plan participation, performance</w:t>
      </w:r>
      <w:r>
        <w:rPr>
          <w:rFonts w:ascii="Arial" w:cs="Arial" w:eastAsia="Arial" w:hAnsi="Arial"/>
          <w:sz w:val="18"/>
          <w:szCs w:val="18"/>
          <w:b w:val="1"/>
          <w:bCs w:val="1"/>
          <w:color w:val="1A1C1E"/>
        </w:rPr>
        <w:t xml:space="preserve"> </w:t>
      </w:r>
      <w:r>
        <w:rPr>
          <w:rFonts w:ascii="Arial" w:cs="Arial" w:eastAsia="Arial" w:hAnsi="Arial"/>
          <w:sz w:val="18"/>
          <w:szCs w:val="18"/>
          <w:color w:val="1A1C1E"/>
        </w:rPr>
        <w:t>goals, and target incentives are established at the beginning of the year.</w:t>
      </w:r>
    </w:p>
    <w:p>
      <w:pPr>
        <w:spacing w:after="0" w:line="53" w:lineRule="exact"/>
        <w:rPr>
          <w:rFonts w:ascii="Arial" w:cs="Arial" w:eastAsia="Arial" w:hAnsi="Arial"/>
          <w:sz w:val="18"/>
          <w:szCs w:val="18"/>
          <w:color w:val="1A1C1E"/>
        </w:rPr>
      </w:pPr>
    </w:p>
    <w:p>
      <w:pPr>
        <w:jc w:val="both"/>
        <w:ind w:left="380" w:hanging="372"/>
        <w:spacing w:after="0" w:line="289" w:lineRule="auto"/>
        <w:tabs>
          <w:tab w:leader="none" w:pos="380" w:val="left"/>
        </w:tabs>
        <w:numPr>
          <w:ilvl w:val="0"/>
          <w:numId w:val="42"/>
        </w:numPr>
        <w:rPr>
          <w:rFonts w:ascii="Arial" w:cs="Arial" w:eastAsia="Arial" w:hAnsi="Arial"/>
          <w:sz w:val="17"/>
          <w:szCs w:val="17"/>
          <w:color w:val="1A1C1E"/>
        </w:rPr>
      </w:pPr>
      <w:r>
        <w:rPr>
          <w:rFonts w:ascii="Arial" w:cs="Arial" w:eastAsia="Arial" w:hAnsi="Arial"/>
          <w:sz w:val="17"/>
          <w:szCs w:val="17"/>
          <w:b w:val="1"/>
          <w:bCs w:val="1"/>
          <w:color w:val="1A1C1E"/>
        </w:rPr>
        <w:t xml:space="preserve">Eligibility. </w:t>
      </w:r>
      <w:r>
        <w:rPr>
          <w:rFonts w:ascii="Arial" w:cs="Arial" w:eastAsia="Arial" w:hAnsi="Arial"/>
          <w:sz w:val="17"/>
          <w:szCs w:val="17"/>
          <w:color w:val="1A1C1E"/>
        </w:rPr>
        <w:t>Each participant must be in a position to materially contribute to the success of the Company. Participation is limited to Company executives with titles</w:t>
      </w:r>
      <w:r>
        <w:rPr>
          <w:rFonts w:ascii="Arial" w:cs="Arial" w:eastAsia="Arial" w:hAnsi="Arial"/>
          <w:sz w:val="17"/>
          <w:szCs w:val="17"/>
          <w:b w:val="1"/>
          <w:bCs w:val="1"/>
          <w:color w:val="1A1C1E"/>
        </w:rPr>
        <w:t xml:space="preserve"> </w:t>
      </w:r>
      <w:r>
        <w:rPr>
          <w:rFonts w:ascii="Arial" w:cs="Arial" w:eastAsia="Arial" w:hAnsi="Arial"/>
          <w:sz w:val="17"/>
          <w:szCs w:val="17"/>
          <w:color w:val="1A1C1E"/>
        </w:rPr>
        <w:t>of vice president or higher. A participant does not earn a Participant Bonus Payment and a participant is not eligible to receive a Participant Bonus Payment unless the participant is employed by the Company on the date that Participant Bonus Payment is paid.</w:t>
      </w:r>
    </w:p>
    <w:p>
      <w:pPr>
        <w:spacing w:after="0" w:line="49" w:lineRule="exact"/>
        <w:rPr>
          <w:rFonts w:ascii="Arial" w:cs="Arial" w:eastAsia="Arial" w:hAnsi="Arial"/>
          <w:sz w:val="17"/>
          <w:szCs w:val="17"/>
          <w:color w:val="1A1C1E"/>
        </w:rPr>
      </w:pPr>
    </w:p>
    <w:p>
      <w:pPr>
        <w:ind w:left="380" w:right="60" w:hanging="372"/>
        <w:spacing w:after="0" w:line="329" w:lineRule="auto"/>
        <w:tabs>
          <w:tab w:leader="none" w:pos="380" w:val="left"/>
        </w:tabs>
        <w:numPr>
          <w:ilvl w:val="0"/>
          <w:numId w:val="42"/>
        </w:numPr>
        <w:rPr>
          <w:rFonts w:ascii="Arial" w:cs="Arial" w:eastAsia="Arial" w:hAnsi="Arial"/>
          <w:sz w:val="15"/>
          <w:szCs w:val="15"/>
          <w:color w:val="1A1C1E"/>
        </w:rPr>
      </w:pPr>
      <w:r>
        <w:rPr>
          <w:rFonts w:ascii="Arial" w:cs="Arial" w:eastAsia="Arial" w:hAnsi="Arial"/>
          <w:sz w:val="15"/>
          <w:szCs w:val="15"/>
          <w:b w:val="1"/>
          <w:bCs w:val="1"/>
          <w:color w:val="1A1C1E"/>
        </w:rPr>
        <w:t xml:space="preserve">Calculation. </w:t>
      </w:r>
      <w:r>
        <w:rPr>
          <w:rFonts w:ascii="Arial" w:cs="Arial" w:eastAsia="Arial" w:hAnsi="Arial"/>
          <w:sz w:val="15"/>
          <w:szCs w:val="15"/>
          <w:color w:val="1A1C1E"/>
        </w:rPr>
        <w:t>Bonuses and applicable bonus metrics will be determined from time to time by the Compensation Committee of the Company’s Board of Directors</w:t>
      </w:r>
      <w:r>
        <w:rPr>
          <w:rFonts w:ascii="Arial" w:cs="Arial" w:eastAsia="Arial" w:hAnsi="Arial"/>
          <w:sz w:val="15"/>
          <w:szCs w:val="15"/>
          <w:b w:val="1"/>
          <w:bCs w:val="1"/>
          <w:color w:val="1A1C1E"/>
        </w:rPr>
        <w:t xml:space="preserve"> </w:t>
      </w:r>
      <w:r>
        <w:rPr>
          <w:rFonts w:ascii="Arial" w:cs="Arial" w:eastAsia="Arial" w:hAnsi="Arial"/>
          <w:sz w:val="15"/>
          <w:szCs w:val="15"/>
          <w:color w:val="1A1C1E"/>
        </w:rPr>
        <w:t>(the “</w:t>
      </w:r>
      <w:r>
        <w:rPr>
          <w:rFonts w:ascii="Arial" w:cs="Arial" w:eastAsia="Arial" w:hAnsi="Arial"/>
          <w:sz w:val="15"/>
          <w:szCs w:val="15"/>
          <w:b w:val="1"/>
          <w:bCs w:val="1"/>
          <w:color w:val="1A1C1E"/>
        </w:rPr>
        <w:t>Compensation Committee</w:t>
      </w:r>
      <w:r>
        <w:rPr>
          <w:rFonts w:ascii="Arial" w:cs="Arial" w:eastAsia="Arial" w:hAnsi="Arial"/>
          <w:sz w:val="15"/>
          <w:szCs w:val="15"/>
          <w:color w:val="1A1C1E"/>
        </w:rPr>
        <w:t>”). Bonuses may be calculated from individual or company performance criteria including, without limitation, revenue, annual revenue run-rate, net revenue retention, adjusted EBITDA, adjusted EBITDA margin, gross profit, non-GAAP operating income, or management-based objectives. Adjustments may be made at the sole discretion of the Compensation Committee to include or exclude certain items in the calculations.</w:t>
      </w:r>
    </w:p>
    <w:p>
      <w:pPr>
        <w:spacing w:after="0" w:line="26" w:lineRule="exact"/>
        <w:rPr>
          <w:rFonts w:ascii="Arial" w:cs="Arial" w:eastAsia="Arial" w:hAnsi="Arial"/>
          <w:sz w:val="15"/>
          <w:szCs w:val="15"/>
          <w:color w:val="1A1C1E"/>
        </w:rPr>
      </w:pPr>
    </w:p>
    <w:p>
      <w:pPr>
        <w:ind w:left="380" w:hanging="372"/>
        <w:spacing w:after="0"/>
        <w:tabs>
          <w:tab w:leader="none" w:pos="380" w:val="left"/>
        </w:tabs>
        <w:numPr>
          <w:ilvl w:val="0"/>
          <w:numId w:val="42"/>
        </w:numPr>
        <w:rPr>
          <w:rFonts w:ascii="Arial" w:cs="Arial" w:eastAsia="Arial" w:hAnsi="Arial"/>
          <w:sz w:val="17"/>
          <w:szCs w:val="17"/>
          <w:color w:val="1A1C1E"/>
        </w:rPr>
      </w:pPr>
      <w:r>
        <w:rPr>
          <w:rFonts w:ascii="Arial" w:cs="Arial" w:eastAsia="Arial" w:hAnsi="Arial"/>
          <w:sz w:val="17"/>
          <w:szCs w:val="17"/>
          <w:b w:val="1"/>
          <w:bCs w:val="1"/>
          <w:color w:val="1A1C1E"/>
        </w:rPr>
        <w:t xml:space="preserve">Payments. </w:t>
      </w:r>
      <w:r>
        <w:rPr>
          <w:rFonts w:ascii="Arial" w:cs="Arial" w:eastAsia="Arial" w:hAnsi="Arial"/>
          <w:sz w:val="17"/>
          <w:szCs w:val="17"/>
          <w:color w:val="1A1C1E"/>
        </w:rPr>
        <w:t>Bonus payments to participants (each, a “</w:t>
      </w:r>
      <w:r>
        <w:rPr>
          <w:rFonts w:ascii="Arial" w:cs="Arial" w:eastAsia="Arial" w:hAnsi="Arial"/>
          <w:sz w:val="17"/>
          <w:szCs w:val="17"/>
          <w:b w:val="1"/>
          <w:bCs w:val="1"/>
          <w:color w:val="1A1C1E"/>
        </w:rPr>
        <w:t>Participant Bonus Payment</w:t>
      </w:r>
      <w:r>
        <w:rPr>
          <w:rFonts w:ascii="Arial" w:cs="Arial" w:eastAsia="Arial" w:hAnsi="Arial"/>
          <w:sz w:val="17"/>
          <w:szCs w:val="17"/>
          <w:color w:val="1A1C1E"/>
        </w:rPr>
        <w:t>”) are expected to be paid on or before March 15, 2022.</w:t>
      </w:r>
    </w:p>
    <w:p>
      <w:pPr>
        <w:spacing w:after="0" w:line="128" w:lineRule="exact"/>
        <w:rPr>
          <w:rFonts w:ascii="Arial" w:cs="Arial" w:eastAsia="Arial" w:hAnsi="Arial"/>
          <w:sz w:val="17"/>
          <w:szCs w:val="17"/>
          <w:color w:val="1A1C1E"/>
        </w:rPr>
      </w:pPr>
    </w:p>
    <w:p>
      <w:pPr>
        <w:ind w:left="380" w:right="80" w:hanging="372"/>
        <w:spacing w:after="0" w:line="282" w:lineRule="auto"/>
        <w:tabs>
          <w:tab w:leader="none" w:pos="380" w:val="left"/>
        </w:tabs>
        <w:numPr>
          <w:ilvl w:val="0"/>
          <w:numId w:val="42"/>
        </w:numPr>
        <w:rPr>
          <w:rFonts w:ascii="Arial" w:cs="Arial" w:eastAsia="Arial" w:hAnsi="Arial"/>
          <w:sz w:val="18"/>
          <w:szCs w:val="18"/>
          <w:color w:val="1A1C1E"/>
        </w:rPr>
      </w:pPr>
      <w:r>
        <w:rPr>
          <w:rFonts w:ascii="Arial" w:cs="Arial" w:eastAsia="Arial" w:hAnsi="Arial"/>
          <w:sz w:val="18"/>
          <w:szCs w:val="18"/>
          <w:b w:val="1"/>
          <w:bCs w:val="1"/>
          <w:color w:val="1A1C1E"/>
        </w:rPr>
        <w:t xml:space="preserve">Communications. </w:t>
      </w:r>
      <w:r>
        <w:rPr>
          <w:rFonts w:ascii="Arial" w:cs="Arial" w:eastAsia="Arial" w:hAnsi="Arial"/>
          <w:sz w:val="18"/>
          <w:szCs w:val="18"/>
          <w:color w:val="1A1C1E"/>
        </w:rPr>
        <w:t>No commitments, verbal or written, may be made to any participant regarding a Participant Bonus Payment unless approved in writing by the</w:t>
      </w:r>
      <w:r>
        <w:rPr>
          <w:rFonts w:ascii="Arial" w:cs="Arial" w:eastAsia="Arial" w:hAnsi="Arial"/>
          <w:sz w:val="18"/>
          <w:szCs w:val="18"/>
          <w:b w:val="1"/>
          <w:bCs w:val="1"/>
          <w:color w:val="1A1C1E"/>
        </w:rPr>
        <w:t xml:space="preserve"> </w:t>
      </w:r>
      <w:r>
        <w:rPr>
          <w:rFonts w:ascii="Arial" w:cs="Arial" w:eastAsia="Arial" w:hAnsi="Arial"/>
          <w:sz w:val="18"/>
          <w:szCs w:val="18"/>
          <w:color w:val="1A1C1E"/>
        </w:rPr>
        <w:t>Company’s chief executive officer (the “</w:t>
      </w:r>
      <w:r>
        <w:rPr>
          <w:rFonts w:ascii="Arial" w:cs="Arial" w:eastAsia="Arial" w:hAnsi="Arial"/>
          <w:sz w:val="18"/>
          <w:szCs w:val="18"/>
          <w:b w:val="1"/>
          <w:bCs w:val="1"/>
          <w:color w:val="1A1C1E"/>
        </w:rPr>
        <w:t>CEO</w:t>
      </w:r>
      <w:r>
        <w:rPr>
          <w:rFonts w:ascii="Arial" w:cs="Arial" w:eastAsia="Arial" w:hAnsi="Arial"/>
          <w:sz w:val="18"/>
          <w:szCs w:val="18"/>
          <w:color w:val="1A1C1E"/>
        </w:rPr>
        <w:t>”).</w:t>
      </w:r>
    </w:p>
    <w:p>
      <w:pPr>
        <w:spacing w:after="0" w:line="53" w:lineRule="exact"/>
        <w:rPr>
          <w:rFonts w:ascii="Arial" w:cs="Arial" w:eastAsia="Arial" w:hAnsi="Arial"/>
          <w:sz w:val="18"/>
          <w:szCs w:val="18"/>
          <w:color w:val="1A1C1E"/>
        </w:rPr>
      </w:pPr>
    </w:p>
    <w:p>
      <w:pPr>
        <w:ind w:left="380" w:right="20" w:hanging="372"/>
        <w:spacing w:after="0" w:line="312" w:lineRule="auto"/>
        <w:tabs>
          <w:tab w:leader="none" w:pos="380" w:val="left"/>
        </w:tabs>
        <w:numPr>
          <w:ilvl w:val="0"/>
          <w:numId w:val="42"/>
        </w:numPr>
        <w:rPr>
          <w:rFonts w:ascii="Arial" w:cs="Arial" w:eastAsia="Arial" w:hAnsi="Arial"/>
          <w:sz w:val="17"/>
          <w:szCs w:val="17"/>
          <w:color w:val="1A1C1E"/>
        </w:rPr>
      </w:pPr>
      <w:r>
        <w:rPr>
          <w:rFonts w:ascii="Arial" w:cs="Arial" w:eastAsia="Arial" w:hAnsi="Arial"/>
          <w:sz w:val="17"/>
          <w:szCs w:val="17"/>
          <w:b w:val="1"/>
          <w:bCs w:val="1"/>
          <w:color w:val="1A1C1E"/>
        </w:rPr>
        <w:t>Promotions; New Hires</w:t>
      </w:r>
      <w:r>
        <w:rPr>
          <w:rFonts w:ascii="Arial" w:cs="Arial" w:eastAsia="Arial" w:hAnsi="Arial"/>
          <w:sz w:val="17"/>
          <w:szCs w:val="17"/>
          <w:color w:val="1A1C1E"/>
        </w:rPr>
        <w:t>. Recently promoted participants will have their Participant Bonus Payments prorated based on the first date of the participant’s eligibility</w:t>
      </w:r>
      <w:r>
        <w:rPr>
          <w:rFonts w:ascii="Arial" w:cs="Arial" w:eastAsia="Arial" w:hAnsi="Arial"/>
          <w:sz w:val="17"/>
          <w:szCs w:val="17"/>
          <w:b w:val="1"/>
          <w:bCs w:val="1"/>
          <w:color w:val="1A1C1E"/>
        </w:rPr>
        <w:t xml:space="preserve"> </w:t>
      </w:r>
      <w:r>
        <w:rPr>
          <w:rFonts w:ascii="Arial" w:cs="Arial" w:eastAsia="Arial" w:hAnsi="Arial"/>
          <w:sz w:val="17"/>
          <w:szCs w:val="17"/>
          <w:color w:val="1A1C1E"/>
        </w:rPr>
        <w:t>for this Plan. Participant Bonus Payments for new hires will be calculated pro rata based on start date of the participant.</w:t>
      </w:r>
    </w:p>
    <w:p>
      <w:pPr>
        <w:spacing w:after="0" w:line="31" w:lineRule="exact"/>
        <w:rPr>
          <w:rFonts w:ascii="Arial" w:cs="Arial" w:eastAsia="Arial" w:hAnsi="Arial"/>
          <w:sz w:val="17"/>
          <w:szCs w:val="17"/>
          <w:color w:val="1A1C1E"/>
        </w:rPr>
      </w:pPr>
    </w:p>
    <w:p>
      <w:pPr>
        <w:ind w:left="380" w:hanging="372"/>
        <w:spacing w:after="0"/>
        <w:tabs>
          <w:tab w:leader="none" w:pos="380" w:val="left"/>
        </w:tabs>
        <w:numPr>
          <w:ilvl w:val="0"/>
          <w:numId w:val="42"/>
        </w:numPr>
        <w:rPr>
          <w:rFonts w:ascii="Arial" w:cs="Arial" w:eastAsia="Arial" w:hAnsi="Arial"/>
          <w:sz w:val="18"/>
          <w:szCs w:val="18"/>
          <w:b w:val="1"/>
          <w:bCs w:val="1"/>
          <w:color w:val="1A1C1E"/>
        </w:rPr>
      </w:pPr>
      <w:r>
        <w:rPr>
          <w:rFonts w:ascii="Arial" w:cs="Arial" w:eastAsia="Arial" w:hAnsi="Arial"/>
          <w:sz w:val="18"/>
          <w:szCs w:val="18"/>
          <w:b w:val="1"/>
          <w:bCs w:val="1"/>
          <w:color w:val="1A1C1E"/>
        </w:rPr>
        <w:t>Miscellaneous.</w:t>
      </w:r>
    </w:p>
    <w:p>
      <w:pPr>
        <w:spacing w:after="0" w:line="117"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8.1.  </w:t>
      </w:r>
      <w:r>
        <w:rPr>
          <w:rFonts w:ascii="Arial" w:cs="Arial" w:eastAsia="Arial" w:hAnsi="Arial"/>
          <w:sz w:val="18"/>
          <w:szCs w:val="18"/>
          <w:b w:val="1"/>
          <w:bCs w:val="1"/>
          <w:color w:val="1A1C1E"/>
        </w:rPr>
        <w:t>General.</w:t>
      </w:r>
      <w:r>
        <w:rPr>
          <w:rFonts w:ascii="Arial" w:cs="Arial" w:eastAsia="Arial" w:hAnsi="Arial"/>
          <w:sz w:val="18"/>
          <w:szCs w:val="18"/>
          <w:color w:val="1A1C1E"/>
        </w:rPr>
        <w:t xml:space="preserve"> The Compensation Committee will have sole authority and discretion to administer and interpret all aspects of this Plan</w:t>
      </w:r>
    </w:p>
    <w:p>
      <w:pPr>
        <w:spacing w:after="0" w:line="117"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8.2.  </w:t>
      </w:r>
      <w:r>
        <w:rPr>
          <w:rFonts w:ascii="Arial" w:cs="Arial" w:eastAsia="Arial" w:hAnsi="Arial"/>
          <w:sz w:val="18"/>
          <w:szCs w:val="18"/>
          <w:b w:val="1"/>
          <w:bCs w:val="1"/>
          <w:color w:val="1A1C1E"/>
        </w:rPr>
        <w:t>At-Will Employment.</w:t>
      </w:r>
      <w:r>
        <w:rPr>
          <w:rFonts w:ascii="Arial" w:cs="Arial" w:eastAsia="Arial" w:hAnsi="Arial"/>
          <w:sz w:val="18"/>
          <w:szCs w:val="18"/>
          <w:color w:val="1A1C1E"/>
        </w:rPr>
        <w:t xml:space="preserve"> Participation in the Bonus Plan does not confer any right to continue to be employed by the Company.</w:t>
      </w:r>
    </w:p>
    <w:p>
      <w:pPr>
        <w:spacing w:after="0" w:line="117"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8.3.  </w:t>
      </w:r>
      <w:r>
        <w:rPr>
          <w:rFonts w:ascii="Arial" w:cs="Arial" w:eastAsia="Arial" w:hAnsi="Arial"/>
          <w:sz w:val="18"/>
          <w:szCs w:val="18"/>
          <w:b w:val="1"/>
          <w:bCs w:val="1"/>
          <w:color w:val="1A1C1E"/>
        </w:rPr>
        <w:t>Modifications.</w:t>
      </w:r>
      <w:r>
        <w:rPr>
          <w:rFonts w:ascii="Arial" w:cs="Arial" w:eastAsia="Arial" w:hAnsi="Arial"/>
          <w:sz w:val="18"/>
          <w:szCs w:val="18"/>
          <w:color w:val="1A1C1E"/>
        </w:rPr>
        <w:t xml:space="preserve"> The Company retains the absolute right to modify, alter or terminate this Plan at any time without notice.</w:t>
      </w:r>
    </w:p>
    <w:p>
      <w:pPr>
        <w:sectPr>
          <w:pgSz w:w="11900" w:h="16838" w:orient="portrait"/>
          <w:cols w:equalWidth="0" w:num="1">
            <w:col w:w="11240"/>
          </w:cols>
          <w:pgMar w:left="320" w:top="33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auto"/>
        </w:rPr>
        <w:t>Exhibit 23.1</w:t>
      </w:r>
    </w:p>
    <w:p>
      <w:pPr>
        <w:spacing w:after="0" w:line="18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 of BigCommerce Holdings, Inc.:</w:t>
      </w:r>
    </w:p>
    <w:p>
      <w:pPr>
        <w:spacing w:after="0" w:line="221" w:lineRule="exact"/>
        <w:rPr>
          <w:sz w:val="20"/>
          <w:szCs w:val="20"/>
          <w:color w:val="auto"/>
        </w:rPr>
      </w:pPr>
    </w:p>
    <w:p>
      <w:pPr>
        <w:ind w:left="1160" w:hanging="572"/>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 S-1 No. 333-250008</w:t>
      </w:r>
    </w:p>
    <w:p>
      <w:pPr>
        <w:spacing w:after="0" w:line="22" w:lineRule="exact"/>
        <w:rPr>
          <w:rFonts w:ascii="Arial" w:cs="Arial" w:eastAsia="Arial" w:hAnsi="Arial"/>
          <w:sz w:val="16"/>
          <w:szCs w:val="16"/>
          <w:color w:val="auto"/>
        </w:rPr>
      </w:pPr>
    </w:p>
    <w:p>
      <w:pPr>
        <w:ind w:left="1160" w:hanging="572"/>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 S-1 No. 333-239838</w:t>
      </w:r>
    </w:p>
    <w:p>
      <w:pPr>
        <w:spacing w:after="0" w:line="18" w:lineRule="exact"/>
        <w:rPr>
          <w:rFonts w:ascii="Arial" w:cs="Arial" w:eastAsia="Arial" w:hAnsi="Arial"/>
          <w:sz w:val="16"/>
          <w:szCs w:val="16"/>
          <w:color w:val="auto"/>
        </w:rPr>
      </w:pPr>
    </w:p>
    <w:p>
      <w:pPr>
        <w:ind w:left="1160" w:hanging="572"/>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 S-8 No. 333-242387 pertaining to the 2020 Employee Incentive Award Plan</w:t>
      </w:r>
    </w:p>
    <w:p>
      <w:pPr>
        <w:spacing w:after="0" w:line="2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of our reports dated February 26, 2021, with respect to the consolidated financial statements of BigCommerce Holdings, Inc. included in this Annual Report (Form 10-K) of BigCommerce Holdings, Inc. for the year ended December 31, 2020.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Austin, Texas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2021</w:t>
      </w:r>
    </w:p>
    <w:p>
      <w:pPr>
        <w:sectPr>
          <w:pgSz w:w="11900" w:h="16838" w:orient="portrait"/>
          <w:cols w:equalWidth="0" w:num="1">
            <w:col w:w="11240"/>
          </w:cols>
          <w:pgMar w:left="320" w:top="126"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Brent Bellm, certify that:</w:t>
      </w:r>
    </w:p>
    <w:p>
      <w:pPr>
        <w:spacing w:after="0" w:line="235" w:lineRule="exact"/>
        <w:rPr>
          <w:sz w:val="20"/>
          <w:szCs w:val="20"/>
          <w:color w:val="auto"/>
        </w:rPr>
      </w:pPr>
    </w:p>
    <w:p>
      <w:pPr>
        <w:ind w:left="580" w:hanging="572"/>
        <w:spacing w:after="0"/>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BigCommerce Holdings, Inc.;</w:t>
      </w:r>
    </w:p>
    <w:p>
      <w:pPr>
        <w:spacing w:after="0" w:line="234" w:lineRule="exact"/>
        <w:rPr>
          <w:rFonts w:ascii="Arial" w:cs="Arial" w:eastAsia="Arial" w:hAnsi="Arial"/>
          <w:sz w:val="16"/>
          <w:szCs w:val="16"/>
          <w:color w:val="auto"/>
        </w:rPr>
      </w:pPr>
    </w:p>
    <w:p>
      <w:pPr>
        <w:ind w:left="580" w:right="60" w:hanging="572"/>
        <w:spacing w:after="0" w:line="328" w:lineRule="auto"/>
        <w:tabs>
          <w:tab w:leader="none" w:pos="5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5"/>
          <w:szCs w:val="15"/>
          <w:color w:val="auto"/>
        </w:rPr>
      </w:pPr>
    </w:p>
    <w:p>
      <w:pPr>
        <w:ind w:left="580" w:right="580" w:hanging="572"/>
        <w:spacing w:after="0" w:line="293"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left="580" w:right="20" w:hanging="572"/>
        <w:spacing w:after="0" w:line="369" w:lineRule="auto"/>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 w:lineRule="exact"/>
        <w:rPr>
          <w:rFonts w:ascii="Arial" w:cs="Arial" w:eastAsia="Arial" w:hAnsi="Arial"/>
          <w:sz w:val="14"/>
          <w:szCs w:val="14"/>
          <w:color w:val="auto"/>
        </w:rPr>
      </w:pPr>
    </w:p>
    <w:p>
      <w:pPr>
        <w:ind w:left="1160" w:right="140" w:hanging="572"/>
        <w:spacing w:after="0" w:line="278"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160" w:right="40" w:hanging="572"/>
        <w:spacing w:after="0" w:line="278"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60" w:right="60" w:hanging="572"/>
        <w:spacing w:after="0" w:line="293"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6"/>
          <w:szCs w:val="16"/>
          <w:color w:val="auto"/>
        </w:rPr>
      </w:pPr>
    </w:p>
    <w:p>
      <w:pPr>
        <w:ind w:left="1160" w:right="20" w:hanging="572"/>
        <w:spacing w:after="0" w:line="278"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580" w:right="220" w:hanging="572"/>
        <w:spacing w:after="0" w:line="293"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160" w:right="220" w:hanging="572"/>
        <w:spacing w:after="0" w:line="293"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6"/>
          <w:szCs w:val="16"/>
          <w:color w:val="auto"/>
        </w:rPr>
      </w:pPr>
    </w:p>
    <w:p>
      <w:pPr>
        <w:ind w:left="1160" w:right="440" w:hanging="572"/>
        <w:spacing w:after="0" w:line="293"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5600" w:val="left"/>
          <w:tab w:leader="none" w:pos="8080" w:val="left"/>
        </w:tabs>
        <w:rPr>
          <w:sz w:val="20"/>
          <w:szCs w:val="20"/>
          <w:color w:val="auto"/>
        </w:rPr>
      </w:pPr>
      <w:r>
        <w:rPr>
          <w:rFonts w:ascii="Arial" w:cs="Arial" w:eastAsia="Arial" w:hAnsi="Arial"/>
          <w:sz w:val="16"/>
          <w:szCs w:val="16"/>
          <w:color w:val="auto"/>
        </w:rPr>
        <w:t>Date: February 26,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Brent Bellm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Brent Bellm</w:t>
      </w:r>
    </w:p>
    <w:p>
      <w:pPr>
        <w:spacing w:after="0" w:line="26"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8" w:lineRule="exact"/>
        <w:rPr>
          <w:sz w:val="20"/>
          <w:szCs w:val="20"/>
          <w:color w:val="auto"/>
        </w:rPr>
      </w:pPr>
    </w:p>
    <w:p>
      <w:pPr>
        <w:ind w:left="7620"/>
        <w:spacing w:after="0"/>
        <w:rPr>
          <w:sz w:val="20"/>
          <w:szCs w:val="20"/>
          <w:color w:val="auto"/>
        </w:rPr>
      </w:pPr>
      <w:r>
        <w:rPr>
          <w:rFonts w:ascii="Arial" w:cs="Arial" w:eastAsia="Arial" w:hAnsi="Arial"/>
          <w:sz w:val="16"/>
          <w:szCs w:val="16"/>
          <w:b w:val="1"/>
          <w:bCs w:val="1"/>
          <w:i w:val="1"/>
          <w:iCs w:val="1"/>
          <w:color w:val="auto"/>
        </w:rPr>
        <w:t>(Principal Executive Officer)</w:t>
      </w:r>
    </w:p>
    <w:p>
      <w:pPr>
        <w:sectPr>
          <w:pgSz w:w="11900" w:h="16838" w:orient="portrait"/>
          <w:cols w:equalWidth="0" w:num="1">
            <w:col w:w="11240"/>
          </w:cols>
          <w:pgMar w:left="320" w:top="12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Robert Alvarez, certify that:</w:t>
      </w:r>
    </w:p>
    <w:p>
      <w:pPr>
        <w:spacing w:after="0" w:line="235" w:lineRule="exact"/>
        <w:rPr>
          <w:sz w:val="20"/>
          <w:szCs w:val="20"/>
          <w:color w:val="auto"/>
        </w:rPr>
      </w:pPr>
    </w:p>
    <w:p>
      <w:pPr>
        <w:ind w:left="580" w:hanging="572"/>
        <w:spacing w:after="0"/>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BigCommerce Holdings, Inc.;</w:t>
      </w:r>
    </w:p>
    <w:p>
      <w:pPr>
        <w:spacing w:after="0" w:line="234" w:lineRule="exact"/>
        <w:rPr>
          <w:rFonts w:ascii="Arial" w:cs="Arial" w:eastAsia="Arial" w:hAnsi="Arial"/>
          <w:sz w:val="16"/>
          <w:szCs w:val="16"/>
          <w:color w:val="auto"/>
        </w:rPr>
      </w:pPr>
    </w:p>
    <w:p>
      <w:pPr>
        <w:ind w:left="580" w:right="60" w:hanging="572"/>
        <w:spacing w:after="0" w:line="328" w:lineRule="auto"/>
        <w:tabs>
          <w:tab w:leader="none" w:pos="5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5"/>
          <w:szCs w:val="15"/>
          <w:color w:val="auto"/>
        </w:rPr>
      </w:pPr>
    </w:p>
    <w:p>
      <w:pPr>
        <w:ind w:left="580" w:right="580" w:hanging="572"/>
        <w:spacing w:after="0" w:line="293"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left="580" w:right="20" w:hanging="572"/>
        <w:spacing w:after="0" w:line="369" w:lineRule="auto"/>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 w:lineRule="exact"/>
        <w:rPr>
          <w:rFonts w:ascii="Arial" w:cs="Arial" w:eastAsia="Arial" w:hAnsi="Arial"/>
          <w:sz w:val="14"/>
          <w:szCs w:val="14"/>
          <w:color w:val="auto"/>
        </w:rPr>
      </w:pPr>
    </w:p>
    <w:p>
      <w:pPr>
        <w:ind w:left="1160" w:right="140" w:hanging="572"/>
        <w:spacing w:after="0" w:line="278"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160" w:right="40" w:hanging="572"/>
        <w:spacing w:after="0" w:line="278"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60" w:right="60" w:hanging="572"/>
        <w:spacing w:after="0" w:line="293"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6"/>
          <w:szCs w:val="16"/>
          <w:color w:val="auto"/>
        </w:rPr>
      </w:pPr>
    </w:p>
    <w:p>
      <w:pPr>
        <w:ind w:left="1160" w:right="20" w:hanging="572"/>
        <w:spacing w:after="0" w:line="278"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580" w:right="220" w:hanging="572"/>
        <w:spacing w:after="0" w:line="293"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160" w:right="220" w:hanging="572"/>
        <w:spacing w:after="0" w:line="293"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6"/>
          <w:szCs w:val="16"/>
          <w:color w:val="auto"/>
        </w:rPr>
      </w:pPr>
    </w:p>
    <w:p>
      <w:pPr>
        <w:ind w:left="1160" w:right="440" w:hanging="572"/>
        <w:spacing w:after="0" w:line="293" w:lineRule="auto"/>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5600" w:val="left"/>
          <w:tab w:leader="none" w:pos="7980" w:val="left"/>
        </w:tabs>
        <w:rPr>
          <w:sz w:val="20"/>
          <w:szCs w:val="20"/>
          <w:color w:val="auto"/>
        </w:rPr>
      </w:pPr>
      <w:r>
        <w:rPr>
          <w:rFonts w:ascii="Arial" w:cs="Arial" w:eastAsia="Arial" w:hAnsi="Arial"/>
          <w:sz w:val="16"/>
          <w:szCs w:val="16"/>
          <w:color w:val="auto"/>
        </w:rPr>
        <w:t>Date: February 26,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Robert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Robert Alvarez</w:t>
      </w:r>
    </w:p>
    <w:p>
      <w:pPr>
        <w:spacing w:after="0" w:line="26"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Chief Financial Officer</w:t>
      </w:r>
    </w:p>
    <w:p>
      <w:pPr>
        <w:spacing w:after="0" w:line="28" w:lineRule="exact"/>
        <w:rPr>
          <w:sz w:val="20"/>
          <w:szCs w:val="20"/>
          <w:color w:val="auto"/>
        </w:rPr>
      </w:pPr>
    </w:p>
    <w:p>
      <w:pPr>
        <w:ind w:left="7620"/>
        <w:spacing w:after="0"/>
        <w:rPr>
          <w:sz w:val="20"/>
          <w:szCs w:val="20"/>
          <w:color w:val="auto"/>
        </w:rPr>
      </w:pPr>
      <w:r>
        <w:rPr>
          <w:rFonts w:ascii="Arial" w:cs="Arial" w:eastAsia="Arial" w:hAnsi="Arial"/>
          <w:sz w:val="16"/>
          <w:szCs w:val="16"/>
          <w:b w:val="1"/>
          <w:bCs w:val="1"/>
          <w:i w:val="1"/>
          <w:iCs w:val="1"/>
          <w:color w:val="auto"/>
        </w:rPr>
        <w:t>(Principal Financial Officer)</w:t>
      </w:r>
    </w:p>
    <w:p>
      <w:pPr>
        <w:sectPr>
          <w:pgSz w:w="11900" w:h="16838" w:orient="portrait"/>
          <w:cols w:equalWidth="0" w:num="1">
            <w:col w:w="11240"/>
          </w:cols>
          <w:pgMar w:left="320" w:top="126" w:right="339" w:bottom="1440" w:gutter="0" w:footer="0" w:header="0"/>
        </w:sectPr>
      </w:pPr>
    </w:p>
    <w:bookmarkStart w:id="82" w:name="page83"/>
    <w:bookmarkEnd w:id="82"/>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In connection with the Annual Report of BigCommerce Holdings, Inc. (the “Company”) on Form 10-K for the period ending December 31,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806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Brent Bellm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Brent Bellm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Alvarez</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4"/>
    </w:lvl>
  </w:abstractNum>
  <w:abstractNum w:abstractNumId="14">
    <w:nsid w:val="1E7FF521"/>
    <w:multiLevelType w:val="hybridMultilevel"/>
    <w:lvl w:ilvl="0">
      <w:lvlJc w:val="left"/>
      <w:lvlText w:val="(%1)"/>
      <w:numFmt w:val="decimal"/>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3"/>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1)"/>
      <w:numFmt w:val="decimal"/>
      <w:start w:val="3"/>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9"/>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6"/>
    </w:lvl>
  </w:abstractNum>
  <w:abstractNum w:abstractNumId="39">
    <w:nsid w:val="2A487CB0"/>
    <w:multiLevelType w:val="hybridMultilevel"/>
    <w:lvl w:ilvl="0">
      <w:lvlJc w:val="left"/>
      <w:lvlText w:val="%1."/>
      <w:numFmt w:val="decimal"/>
      <w:start w:val="7"/>
    </w:lvl>
  </w:abstractNum>
  <w:abstractNum w:abstractNumId="40">
    <w:nsid w:val="1D4ED43B"/>
    <w:multiLevelType w:val="hybridMultilevel"/>
    <w:lvl w:ilvl="0">
      <w:lvlJc w:val="left"/>
      <w:lvlText w:val="%1."/>
      <w:numFmt w:val="decimal"/>
      <w:start w:val="8"/>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jpe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72" Type="http://schemas.openxmlformats.org/officeDocument/2006/relationships/hyperlink" Target="http://www.sec.gov/Archives/edgar/data/1626450/000119312520213268/d36879dex31.htm" TargetMode="External"/><Relationship Id="rId73" Type="http://schemas.openxmlformats.org/officeDocument/2006/relationships/hyperlink" Target="http://www.sec.gov/Archives/edgar/data/1626450/000119312520213268/d36879dex32.htm" TargetMode="External"/><Relationship Id="rId74" Type="http://schemas.openxmlformats.org/officeDocument/2006/relationships/hyperlink" Target="http://www.sec.gov/Archives/edgar/data/1626450/000119312520191966/d844671dex101.htm" TargetMode="External"/><Relationship Id="rId75" Type="http://schemas.openxmlformats.org/officeDocument/2006/relationships/hyperlink" Target="http://www.sec.gov/Archives/edgar/data/1626450/000119312520200282/d844671dex104.htm" TargetMode="External"/><Relationship Id="rId76" Type="http://schemas.openxmlformats.org/officeDocument/2006/relationships/hyperlink" Target="http://www.sec.gov/Archives/edgar/data/1626450/000119312520191966/d844671dex105.htm" TargetMode="External"/><Relationship Id="rId77" Type="http://schemas.openxmlformats.org/officeDocument/2006/relationships/hyperlink" Target="http://www.sec.gov/Archives/edgar/data/1626450/000119312520200282/d844671dex106.htm" TargetMode="External"/><Relationship Id="rId78" Type="http://schemas.openxmlformats.org/officeDocument/2006/relationships/hyperlink" Target="http://www.sec.gov/Archives/edgar/data/1626450/000119312520200282/d844671dex107.htm" TargetMode="External"/><Relationship Id="rId79" Type="http://schemas.openxmlformats.org/officeDocument/2006/relationships/hyperlink" Target="http://www.sec.gov/Archives/edgar/data/1626450/000119312520191966/d844671dex109.htm" TargetMode="External"/><Relationship Id="rId80" Type="http://schemas.openxmlformats.org/officeDocument/2006/relationships/hyperlink" Target="http://www.sec.gov/Archives/edgar/data/1626450/000119312520191966/d844671dex1010.htm" TargetMode="External"/><Relationship Id="rId81" Type="http://schemas.openxmlformats.org/officeDocument/2006/relationships/hyperlink" Target="http://www.sec.gov/Archives/edgar/data/1626450/000119312520191966/d844671dex1012.htm" TargetMode="External"/><Relationship Id="rId82" Type="http://schemas.openxmlformats.org/officeDocument/2006/relationships/hyperlink" Target="http://www.sec.gov/Archives/edgar/data/1626450/000119312520191966/d844671dex1013.htm" TargetMode="External"/><Relationship Id="rId83" Type="http://schemas.openxmlformats.org/officeDocument/2006/relationships/hyperlink" Target="http://www.sec.gov/Archives/edgar/data/1626450/000119312520191966/d844671dex1014.htm" TargetMode="External"/><Relationship Id="rId84" Type="http://schemas.openxmlformats.org/officeDocument/2006/relationships/hyperlink" Target="http://www.sec.gov/Archives/edgar/data/1626450/000119312520191966/d844671dex1015.htm" TargetMode="External"/><Relationship Id="rId85" Type="http://schemas.openxmlformats.org/officeDocument/2006/relationships/hyperlink" Target="http://www.sec.gov/Archives/edgar/data/1626450/000119312520191966/d844671dex1016.htm" TargetMode="External"/><Relationship Id="rId86" Type="http://schemas.openxmlformats.org/officeDocument/2006/relationships/hyperlink" Target="http://www.sec.gov/Archives/edgar/data/1626450/000119312520191966/d844671dex1017.htm" TargetMode="External"/><Relationship Id="rId87" Type="http://schemas.openxmlformats.org/officeDocument/2006/relationships/hyperlink" Target="http://www.sec.gov/Archives/edgar/data/1626450/000119312520191966/d844671dex1018.htm" TargetMode="External"/><Relationship Id="rId88" Type="http://schemas.openxmlformats.org/officeDocument/2006/relationships/hyperlink" Target="http://www.sec.gov/Archives/edgar/data/1626450/000119312520191966/d844671dex1019.htm" TargetMode="External"/><Relationship Id="rId89" Type="http://schemas.openxmlformats.org/officeDocument/2006/relationships/hyperlink" Target="http://www.sec.gov/Archives/edgar/data/1626450/000119312520191966/d844671dex1020.htm" TargetMode="External"/><Relationship Id="rId90" Type="http://schemas.openxmlformats.org/officeDocument/2006/relationships/hyperlink" Target="http://www.sec.gov/Archives/edgar/data/1626450/000119312520191966/d84467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2021-02-26T17:57:11Z</dcterms:created>
  <dcterms:modified xsi:type="dcterms:W3CDTF">2021-02-26T17:57:11Z</dcterms:modified>
</cp:coreProperties>
</file>